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D82" w:rsidRDefault="00734A87" w:rsidP="00F52C9E">
      <w:pPr>
        <w:spacing w:after="0" w:line="276" w:lineRule="auto"/>
        <w:jc w:val="both"/>
        <w:rPr>
          <w:rFonts w:ascii="Times New Roman" w:hAnsi="Times New Roman" w:cs="Times New Roman"/>
          <w:b/>
          <w:sz w:val="24"/>
          <w:szCs w:val="24"/>
        </w:rPr>
      </w:pPr>
      <w:r w:rsidRPr="00EF4427">
        <w:rPr>
          <w:rFonts w:ascii="Times New Roman" w:hAnsi="Times New Roman" w:cs="Times New Roman"/>
          <w:b/>
          <w:sz w:val="24"/>
          <w:szCs w:val="24"/>
        </w:rPr>
        <w:t>MEMORIA SU AG433</w:t>
      </w:r>
    </w:p>
    <w:p w:rsidR="00EF4427" w:rsidRDefault="00EF4427" w:rsidP="00F52C9E">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di Marco Barbieri (ordinario di diritto del lavoro nell’Università degli studi di Bari “Aldo Moro”)</w:t>
      </w:r>
    </w:p>
    <w:p w:rsidR="00EF4427" w:rsidRPr="00EF4427" w:rsidRDefault="00EF4427" w:rsidP="00F52C9E">
      <w:pPr>
        <w:spacing w:after="0" w:line="276" w:lineRule="auto"/>
        <w:jc w:val="both"/>
        <w:rPr>
          <w:rFonts w:ascii="Times New Roman" w:hAnsi="Times New Roman" w:cs="Times New Roman"/>
          <w:b/>
          <w:sz w:val="24"/>
          <w:szCs w:val="24"/>
        </w:rPr>
      </w:pPr>
    </w:p>
    <w:p w:rsidR="00734A87" w:rsidRPr="009C70A0" w:rsidRDefault="00734A87" w:rsidP="00F52C9E">
      <w:pPr>
        <w:pStyle w:val="Paragrafoelenco"/>
        <w:numPr>
          <w:ilvl w:val="0"/>
          <w:numId w:val="1"/>
        </w:numPr>
        <w:spacing w:after="0" w:line="276" w:lineRule="auto"/>
        <w:ind w:left="0" w:firstLine="360"/>
        <w:jc w:val="both"/>
        <w:rPr>
          <w:rFonts w:ascii="Times New Roman" w:hAnsi="Times New Roman" w:cs="Times New Roman"/>
          <w:sz w:val="24"/>
          <w:szCs w:val="24"/>
        </w:rPr>
      </w:pPr>
      <w:r w:rsidRPr="009C70A0">
        <w:rPr>
          <w:rFonts w:ascii="Times New Roman" w:hAnsi="Times New Roman" w:cs="Times New Roman"/>
          <w:sz w:val="24"/>
          <w:szCs w:val="24"/>
        </w:rPr>
        <w:t xml:space="preserve">La prima osservazione che deve essere compiuta è che non si comprende, almeno dall’esterno del Parlamento, per quale ragione, in pendenza della delega dalla quale discende lo schema di decreto legislativo m. 433, si sia ritenuto necessario </w:t>
      </w:r>
      <w:r w:rsidR="00D00926" w:rsidRPr="009C70A0">
        <w:rPr>
          <w:rFonts w:ascii="Times New Roman" w:hAnsi="Times New Roman" w:cs="Times New Roman"/>
          <w:sz w:val="24"/>
          <w:szCs w:val="24"/>
        </w:rPr>
        <w:t>prevedere nel decreto-legge n. 62/2026 e nella relativa legge di conversione n. 112/2026 un Capo III dedicato alle misure di prevenzione e di contrasto al caporalato digitale, che largamente si sovrappone alle previsioni contenut</w:t>
      </w:r>
      <w:r w:rsidR="001950F9">
        <w:rPr>
          <w:rFonts w:ascii="Times New Roman" w:hAnsi="Times New Roman" w:cs="Times New Roman"/>
          <w:sz w:val="24"/>
          <w:szCs w:val="24"/>
        </w:rPr>
        <w:t>e</w:t>
      </w:r>
      <w:r w:rsidR="00D00926" w:rsidRPr="009C70A0">
        <w:rPr>
          <w:rFonts w:ascii="Times New Roman" w:hAnsi="Times New Roman" w:cs="Times New Roman"/>
          <w:sz w:val="24"/>
          <w:szCs w:val="24"/>
        </w:rPr>
        <w:t xml:space="preserve"> nello schema di decreto legislativo oggi all’esame.</w:t>
      </w:r>
    </w:p>
    <w:p w:rsidR="00D00926" w:rsidRPr="009C70A0" w:rsidRDefault="00D00926" w:rsidP="00F52C9E">
      <w:pPr>
        <w:pStyle w:val="Paragrafoelenco"/>
        <w:spacing w:after="0" w:line="276" w:lineRule="auto"/>
        <w:ind w:left="0" w:firstLine="360"/>
        <w:jc w:val="both"/>
        <w:rPr>
          <w:rFonts w:ascii="Times New Roman" w:hAnsi="Times New Roman" w:cs="Times New Roman"/>
          <w:sz w:val="24"/>
          <w:szCs w:val="24"/>
        </w:rPr>
      </w:pPr>
      <w:r w:rsidRPr="009C70A0">
        <w:rPr>
          <w:rFonts w:ascii="Times New Roman" w:hAnsi="Times New Roman" w:cs="Times New Roman"/>
          <w:sz w:val="24"/>
          <w:szCs w:val="24"/>
        </w:rPr>
        <w:t>Delle possibili interferenze e dei problemi di coordinamento della disciplina legislativa, ci si occuperà nel seguito.</w:t>
      </w:r>
    </w:p>
    <w:p w:rsidR="00D00926" w:rsidRPr="009C70A0" w:rsidRDefault="000A40C8" w:rsidP="00F52C9E">
      <w:pPr>
        <w:pStyle w:val="Paragrafoelenco"/>
        <w:numPr>
          <w:ilvl w:val="0"/>
          <w:numId w:val="1"/>
        </w:numPr>
        <w:spacing w:after="0" w:line="276" w:lineRule="auto"/>
        <w:ind w:left="0" w:firstLine="360"/>
        <w:jc w:val="both"/>
        <w:rPr>
          <w:rFonts w:ascii="Times New Roman" w:hAnsi="Times New Roman" w:cs="Times New Roman"/>
          <w:sz w:val="24"/>
          <w:szCs w:val="24"/>
        </w:rPr>
      </w:pPr>
      <w:r>
        <w:rPr>
          <w:rFonts w:ascii="Times New Roman" w:hAnsi="Times New Roman" w:cs="Times New Roman"/>
          <w:sz w:val="24"/>
          <w:szCs w:val="24"/>
        </w:rPr>
        <w:t>L’attuazione della D</w:t>
      </w:r>
      <w:r w:rsidR="00D00926" w:rsidRPr="009C70A0">
        <w:rPr>
          <w:rFonts w:ascii="Times New Roman" w:hAnsi="Times New Roman" w:cs="Times New Roman"/>
          <w:sz w:val="24"/>
          <w:szCs w:val="24"/>
        </w:rPr>
        <w:t xml:space="preserve">irettiva – e tanto più di una </w:t>
      </w:r>
      <w:r>
        <w:rPr>
          <w:rFonts w:ascii="Times New Roman" w:hAnsi="Times New Roman" w:cs="Times New Roman"/>
          <w:sz w:val="24"/>
          <w:szCs w:val="24"/>
        </w:rPr>
        <w:t>D</w:t>
      </w:r>
      <w:r w:rsidR="00D00926" w:rsidRPr="009C70A0">
        <w:rPr>
          <w:rFonts w:ascii="Times New Roman" w:hAnsi="Times New Roman" w:cs="Times New Roman"/>
          <w:sz w:val="24"/>
          <w:szCs w:val="24"/>
        </w:rPr>
        <w:t xml:space="preserve">irettiva che è stata assai lungamente discussa in sede unionale – è </w:t>
      </w:r>
      <w:r w:rsidR="00EF7768" w:rsidRPr="009C70A0">
        <w:rPr>
          <w:rFonts w:ascii="Times New Roman" w:hAnsi="Times New Roman" w:cs="Times New Roman"/>
          <w:sz w:val="24"/>
          <w:szCs w:val="24"/>
        </w:rPr>
        <w:t>sempre compito comples</w:t>
      </w:r>
      <w:r w:rsidR="00D00926" w:rsidRPr="009C70A0">
        <w:rPr>
          <w:rFonts w:ascii="Times New Roman" w:hAnsi="Times New Roman" w:cs="Times New Roman"/>
          <w:sz w:val="24"/>
          <w:szCs w:val="24"/>
        </w:rPr>
        <w:t xml:space="preserve">so. </w:t>
      </w:r>
      <w:r w:rsidR="00EF7768" w:rsidRPr="009C70A0">
        <w:rPr>
          <w:rFonts w:ascii="Times New Roman" w:hAnsi="Times New Roman" w:cs="Times New Roman"/>
          <w:sz w:val="24"/>
          <w:szCs w:val="24"/>
        </w:rPr>
        <w:t>Tuttavia, nel riconoscere questo, è difficile sfuggire all’impressione che lo schema non risponde del tutto e correttamente alla finalità dichiarata all’art. 1.</w:t>
      </w:r>
    </w:p>
    <w:p w:rsidR="00EF7768" w:rsidRPr="009C70A0" w:rsidRDefault="00EF7768" w:rsidP="00F52C9E">
      <w:pPr>
        <w:pStyle w:val="Paragrafoelenco"/>
        <w:spacing w:after="0" w:line="276" w:lineRule="auto"/>
        <w:ind w:left="0" w:firstLine="360"/>
        <w:jc w:val="both"/>
        <w:rPr>
          <w:rFonts w:ascii="Times New Roman" w:hAnsi="Times New Roman" w:cs="Times New Roman"/>
          <w:sz w:val="24"/>
          <w:szCs w:val="24"/>
        </w:rPr>
      </w:pPr>
      <w:r w:rsidRPr="009C70A0">
        <w:rPr>
          <w:rFonts w:ascii="Times New Roman" w:hAnsi="Times New Roman" w:cs="Times New Roman"/>
          <w:sz w:val="24"/>
          <w:szCs w:val="24"/>
        </w:rPr>
        <w:t>La prima osservazi</w:t>
      </w:r>
      <w:r w:rsidR="00AD5213" w:rsidRPr="009C70A0">
        <w:rPr>
          <w:rFonts w:ascii="Times New Roman" w:hAnsi="Times New Roman" w:cs="Times New Roman"/>
          <w:sz w:val="24"/>
          <w:szCs w:val="24"/>
        </w:rPr>
        <w:t>o</w:t>
      </w:r>
      <w:r w:rsidRPr="009C70A0">
        <w:rPr>
          <w:rFonts w:ascii="Times New Roman" w:hAnsi="Times New Roman" w:cs="Times New Roman"/>
          <w:sz w:val="24"/>
          <w:szCs w:val="24"/>
        </w:rPr>
        <w:t>ne critica deve farsi a proposito dell’</w:t>
      </w:r>
      <w:r w:rsidRPr="009C70A0">
        <w:rPr>
          <w:rFonts w:ascii="Times New Roman" w:hAnsi="Times New Roman" w:cs="Times New Roman"/>
          <w:b/>
          <w:sz w:val="24"/>
          <w:szCs w:val="24"/>
        </w:rPr>
        <w:t>art. 2</w:t>
      </w:r>
      <w:r w:rsidRPr="009C70A0">
        <w:rPr>
          <w:rFonts w:ascii="Times New Roman" w:hAnsi="Times New Roman" w:cs="Times New Roman"/>
          <w:sz w:val="24"/>
          <w:szCs w:val="24"/>
        </w:rPr>
        <w:t xml:space="preserve">. </w:t>
      </w:r>
      <w:r w:rsidR="00AD5213" w:rsidRPr="009C70A0">
        <w:rPr>
          <w:rFonts w:ascii="Times New Roman" w:hAnsi="Times New Roman" w:cs="Times New Roman"/>
          <w:sz w:val="24"/>
          <w:szCs w:val="24"/>
        </w:rPr>
        <w:t>Mentre il primo comma riferisce correttamente l’ambito di applicazione al “lavoro svolto sul territorio nazionale”, indipendentemente dalla sede di stabilimento, il secondo comma indica il campo soggettivo di applicazione nelle “persone che svolgono un lavoro mediante piattaforme digitali che hanno o che, sulla base di una valutazione dei fatti, si ritiene che abbiano un contratto o rapporto di lavoro subordinato, ai lavoratori autonomi, a coloro che hanno un contratto di collaborazione coordinata e continuativa, ivi compresi i rapporti di collaborazione di cui all’articolo 2, comma 1, del decreto legislativo 15 giugno 2015, n. 81”: l’intento è chiaramente quello di far rientrare nell’ambito del decreto tutte le forme di lavoro attualmente esistenti, ma è sfuggito che l’espressione “contratto o rapporto di lavoro subordinato”, frequ</w:t>
      </w:r>
      <w:r w:rsidR="004A2CC4" w:rsidRPr="009C70A0">
        <w:rPr>
          <w:rFonts w:ascii="Times New Roman" w:hAnsi="Times New Roman" w:cs="Times New Roman"/>
          <w:sz w:val="24"/>
          <w:szCs w:val="24"/>
        </w:rPr>
        <w:t>e</w:t>
      </w:r>
      <w:r w:rsidR="00AD5213" w:rsidRPr="009C70A0">
        <w:rPr>
          <w:rFonts w:ascii="Times New Roman" w:hAnsi="Times New Roman" w:cs="Times New Roman"/>
          <w:sz w:val="24"/>
          <w:szCs w:val="24"/>
        </w:rPr>
        <w:t xml:space="preserve">nte nelle fonti europee, non ha valore </w:t>
      </w:r>
      <w:r w:rsidR="004A2CC4" w:rsidRPr="009C70A0">
        <w:rPr>
          <w:rFonts w:ascii="Times New Roman" w:hAnsi="Times New Roman" w:cs="Times New Roman"/>
          <w:sz w:val="24"/>
          <w:szCs w:val="24"/>
        </w:rPr>
        <w:t xml:space="preserve">nel nostro Paese, nel quale l’esecuzione di una prestazione di lavoro – a meno che rientri nella gratuità </w:t>
      </w:r>
      <w:r w:rsidR="004A2CC4" w:rsidRPr="009C70A0">
        <w:rPr>
          <w:rFonts w:ascii="Times New Roman" w:hAnsi="Times New Roman" w:cs="Times New Roman"/>
          <w:i/>
          <w:sz w:val="24"/>
          <w:szCs w:val="24"/>
        </w:rPr>
        <w:t xml:space="preserve">affectionis vel benevolentiae causa – </w:t>
      </w:r>
      <w:r w:rsidR="004A2CC4" w:rsidRPr="009C70A0">
        <w:rPr>
          <w:rFonts w:ascii="Times New Roman" w:hAnsi="Times New Roman" w:cs="Times New Roman"/>
          <w:sz w:val="24"/>
          <w:szCs w:val="24"/>
        </w:rPr>
        <w:t>è sempre</w:t>
      </w:r>
      <w:r w:rsidR="004A2CC4" w:rsidRPr="009C70A0">
        <w:rPr>
          <w:rFonts w:ascii="Times New Roman" w:hAnsi="Times New Roman" w:cs="Times New Roman"/>
          <w:i/>
          <w:sz w:val="24"/>
          <w:szCs w:val="24"/>
        </w:rPr>
        <w:t xml:space="preserve"> </w:t>
      </w:r>
      <w:r w:rsidR="004A2CC4" w:rsidRPr="009C70A0">
        <w:rPr>
          <w:rFonts w:ascii="Times New Roman" w:hAnsi="Times New Roman" w:cs="Times New Roman"/>
          <w:sz w:val="24"/>
          <w:szCs w:val="24"/>
        </w:rPr>
        <w:t>esecuzione di un contratto, che d’altronde non ha requisiti formali. Ma questo può essere considerato un profilo puramente tecnico secondario.</w:t>
      </w:r>
    </w:p>
    <w:p w:rsidR="00791678" w:rsidRPr="009C70A0" w:rsidRDefault="004A2CC4" w:rsidP="00F52C9E">
      <w:pPr>
        <w:pStyle w:val="Paragrafoelenco"/>
        <w:numPr>
          <w:ilvl w:val="0"/>
          <w:numId w:val="1"/>
        </w:numPr>
        <w:spacing w:after="0" w:line="276" w:lineRule="auto"/>
        <w:ind w:left="0" w:firstLine="357"/>
        <w:jc w:val="both"/>
        <w:rPr>
          <w:rFonts w:ascii="Times New Roman" w:hAnsi="Times New Roman" w:cs="Times New Roman"/>
          <w:sz w:val="24"/>
          <w:szCs w:val="24"/>
        </w:rPr>
      </w:pPr>
      <w:r w:rsidRPr="009C70A0">
        <w:rPr>
          <w:rFonts w:ascii="Times New Roman" w:hAnsi="Times New Roman" w:cs="Times New Roman"/>
          <w:sz w:val="24"/>
          <w:szCs w:val="24"/>
        </w:rPr>
        <w:t>Più rilevante è l’analisi dell’</w:t>
      </w:r>
      <w:r w:rsidRPr="009C70A0">
        <w:rPr>
          <w:rFonts w:ascii="Times New Roman" w:hAnsi="Times New Roman" w:cs="Times New Roman"/>
          <w:b/>
          <w:sz w:val="24"/>
          <w:szCs w:val="24"/>
        </w:rPr>
        <w:t>art. 3</w:t>
      </w:r>
      <w:r w:rsidRPr="009C70A0">
        <w:rPr>
          <w:rFonts w:ascii="Times New Roman" w:hAnsi="Times New Roman" w:cs="Times New Roman"/>
          <w:sz w:val="24"/>
          <w:szCs w:val="24"/>
        </w:rPr>
        <w:t>, che contiene le definizioni adoperate dal legislatore delegato.</w:t>
      </w:r>
    </w:p>
    <w:p w:rsidR="004A2CC4" w:rsidRPr="009C70A0" w:rsidRDefault="004A2CC4" w:rsidP="00F52C9E">
      <w:pPr>
        <w:pStyle w:val="Paragrafoelenco"/>
        <w:spacing w:after="0" w:line="276" w:lineRule="auto"/>
        <w:ind w:left="0" w:firstLine="360"/>
        <w:jc w:val="both"/>
        <w:rPr>
          <w:rFonts w:ascii="Times New Roman" w:hAnsi="Times New Roman" w:cs="Times New Roman"/>
          <w:sz w:val="24"/>
          <w:szCs w:val="24"/>
        </w:rPr>
      </w:pPr>
      <w:r w:rsidRPr="009C70A0">
        <w:rPr>
          <w:rFonts w:ascii="Times New Roman" w:hAnsi="Times New Roman" w:cs="Times New Roman"/>
          <w:sz w:val="24"/>
          <w:szCs w:val="24"/>
        </w:rPr>
        <w:t xml:space="preserve">Bisogna </w:t>
      </w:r>
      <w:r w:rsidR="00791678" w:rsidRPr="009C70A0">
        <w:rPr>
          <w:rFonts w:ascii="Times New Roman" w:hAnsi="Times New Roman" w:cs="Times New Roman"/>
          <w:sz w:val="24"/>
          <w:szCs w:val="24"/>
        </w:rPr>
        <w:t xml:space="preserve">innanzitutto </w:t>
      </w:r>
      <w:r w:rsidRPr="009C70A0">
        <w:rPr>
          <w:rFonts w:ascii="Times New Roman" w:hAnsi="Times New Roman" w:cs="Times New Roman"/>
          <w:sz w:val="24"/>
          <w:szCs w:val="24"/>
        </w:rPr>
        <w:t xml:space="preserve">soffermarsi sul primo comma, </w:t>
      </w:r>
      <w:r w:rsidRPr="009C70A0">
        <w:rPr>
          <w:rFonts w:ascii="Times New Roman" w:hAnsi="Times New Roman" w:cs="Times New Roman"/>
          <w:i/>
          <w:sz w:val="24"/>
          <w:szCs w:val="24"/>
        </w:rPr>
        <w:t>lett. a)</w:t>
      </w:r>
      <w:r w:rsidRPr="009C70A0">
        <w:rPr>
          <w:rFonts w:ascii="Times New Roman" w:hAnsi="Times New Roman" w:cs="Times New Roman"/>
          <w:sz w:val="24"/>
          <w:szCs w:val="24"/>
        </w:rPr>
        <w:t>, n. 3, nel quale tra gli elementi che rendono riconoscibile una “piattaforma di lavoro digitale” (</w:t>
      </w:r>
      <w:r w:rsidRPr="009C70A0">
        <w:rPr>
          <w:rFonts w:ascii="Times New Roman" w:hAnsi="Times New Roman" w:cs="Times New Roman"/>
          <w:i/>
          <w:sz w:val="24"/>
          <w:szCs w:val="24"/>
        </w:rPr>
        <w:t>lett. a</w:t>
      </w:r>
      <w:r w:rsidRPr="009C70A0">
        <w:rPr>
          <w:rFonts w:ascii="Times New Roman" w:hAnsi="Times New Roman" w:cs="Times New Roman"/>
          <w:sz w:val="24"/>
          <w:szCs w:val="24"/>
        </w:rPr>
        <w:t xml:space="preserve">) è scritto che “comporta, </w:t>
      </w:r>
      <w:r w:rsidRPr="009C70A0">
        <w:rPr>
          <w:rFonts w:ascii="Times New Roman" w:hAnsi="Times New Roman" w:cs="Times New Roman"/>
          <w:i/>
          <w:sz w:val="24"/>
          <w:szCs w:val="24"/>
        </w:rPr>
        <w:t>quale componente necessaria ed essenziale</w:t>
      </w:r>
      <w:r w:rsidR="00791678" w:rsidRPr="009C70A0">
        <w:rPr>
          <w:rStyle w:val="Rimandonotaapidipagina"/>
          <w:rFonts w:ascii="Times New Roman" w:hAnsi="Times New Roman" w:cs="Times New Roman"/>
          <w:sz w:val="24"/>
          <w:szCs w:val="24"/>
        </w:rPr>
        <w:footnoteReference w:id="1"/>
      </w:r>
      <w:r w:rsidRPr="009C70A0">
        <w:rPr>
          <w:rFonts w:ascii="Times New Roman" w:hAnsi="Times New Roman" w:cs="Times New Roman"/>
          <w:sz w:val="24"/>
          <w:szCs w:val="24"/>
        </w:rPr>
        <w:t xml:space="preserve">, l’organizzazione della prestazione di lavoro svolta </w:t>
      </w:r>
      <w:r w:rsidR="005B1F23" w:rsidRPr="009C70A0">
        <w:rPr>
          <w:rFonts w:ascii="Times New Roman" w:hAnsi="Times New Roman" w:cs="Times New Roman"/>
          <w:sz w:val="24"/>
          <w:szCs w:val="24"/>
        </w:rPr>
        <w:t>da individui a titolo oneroso, indipendentemente dalle modalità e dal luogo di svolgimento della prestazione, che può anche essere da remoto”.</w:t>
      </w:r>
      <w:r w:rsidR="00B3279F" w:rsidRPr="009C70A0">
        <w:rPr>
          <w:rFonts w:ascii="Times New Roman" w:hAnsi="Times New Roman" w:cs="Times New Roman"/>
          <w:sz w:val="24"/>
          <w:szCs w:val="24"/>
        </w:rPr>
        <w:t xml:space="preserve"> Va ricordato che la definizione riprende quasi alla lettera quella contenuta nella Direttiva (UE) 2024/2831, salva l</w:t>
      </w:r>
      <w:r w:rsidR="00062EF8">
        <w:rPr>
          <w:rFonts w:ascii="Times New Roman" w:hAnsi="Times New Roman" w:cs="Times New Roman"/>
          <w:sz w:val="24"/>
          <w:szCs w:val="24"/>
        </w:rPr>
        <w:t>a parte finale che nella Diretti</w:t>
      </w:r>
      <w:r w:rsidR="00B3279F" w:rsidRPr="009C70A0">
        <w:rPr>
          <w:rFonts w:ascii="Times New Roman" w:hAnsi="Times New Roman" w:cs="Times New Roman"/>
          <w:sz w:val="24"/>
          <w:szCs w:val="24"/>
        </w:rPr>
        <w:t>va è così: “indipendentemente dal fatto che tale lavoro sia svolto online o in un determinato luogo”.</w:t>
      </w:r>
    </w:p>
    <w:p w:rsidR="005B1F23" w:rsidRPr="009C70A0" w:rsidRDefault="005B1F23" w:rsidP="00F52C9E">
      <w:pPr>
        <w:pStyle w:val="Paragrafoelenco"/>
        <w:spacing w:after="0" w:line="276" w:lineRule="auto"/>
        <w:ind w:left="0" w:firstLine="360"/>
        <w:jc w:val="both"/>
        <w:rPr>
          <w:rFonts w:ascii="Times New Roman" w:hAnsi="Times New Roman" w:cs="Times New Roman"/>
          <w:sz w:val="24"/>
          <w:szCs w:val="24"/>
        </w:rPr>
      </w:pPr>
      <w:r w:rsidRPr="009C70A0">
        <w:rPr>
          <w:rFonts w:ascii="Times New Roman" w:hAnsi="Times New Roman" w:cs="Times New Roman"/>
          <w:sz w:val="24"/>
          <w:szCs w:val="24"/>
        </w:rPr>
        <w:t>Dunque, l’art. 2, co. 1, ci dice che il decreto si applicherà alle piattaforme digitali, e l’art. 3, co. 1, lett. a, che sono piattaforme quelle che organizzano il lavoro altrui. Si può e credo si debba essere del tutto d’accordo sull’utilità della definizione: ma allora lo schema è in contraddizione con se stesso.</w:t>
      </w:r>
    </w:p>
    <w:p w:rsidR="005B1F23" w:rsidRPr="009C70A0" w:rsidRDefault="005B1F23" w:rsidP="00F52C9E">
      <w:pPr>
        <w:pStyle w:val="Paragrafoelenco"/>
        <w:spacing w:after="0" w:line="276" w:lineRule="auto"/>
        <w:ind w:left="0" w:firstLine="360"/>
        <w:jc w:val="both"/>
        <w:rPr>
          <w:rFonts w:ascii="Times New Roman" w:hAnsi="Times New Roman" w:cs="Times New Roman"/>
          <w:sz w:val="24"/>
          <w:szCs w:val="24"/>
        </w:rPr>
      </w:pPr>
      <w:r w:rsidRPr="009C70A0">
        <w:rPr>
          <w:rFonts w:ascii="Times New Roman" w:hAnsi="Times New Roman" w:cs="Times New Roman"/>
          <w:sz w:val="24"/>
          <w:szCs w:val="24"/>
        </w:rPr>
        <w:t>In effetti, l’art. 2, co. 2, prevede, come già detto, che il decreto si applichi a coloro che abbiano un rapporto di lavoro con le piattaforme digitali, compresi lavoratori autonomi e co.co.co.</w:t>
      </w:r>
    </w:p>
    <w:p w:rsidR="005B1F23" w:rsidRPr="009C70A0" w:rsidRDefault="005B1F23" w:rsidP="00F52C9E">
      <w:pPr>
        <w:pStyle w:val="Paragrafoelenco"/>
        <w:spacing w:after="0" w:line="276" w:lineRule="auto"/>
        <w:ind w:left="0" w:firstLine="360"/>
        <w:jc w:val="both"/>
        <w:rPr>
          <w:rFonts w:ascii="Times New Roman" w:hAnsi="Times New Roman" w:cs="Times New Roman"/>
          <w:sz w:val="24"/>
          <w:szCs w:val="24"/>
        </w:rPr>
      </w:pPr>
      <w:r w:rsidRPr="009C70A0">
        <w:rPr>
          <w:rFonts w:ascii="Times New Roman" w:hAnsi="Times New Roman" w:cs="Times New Roman"/>
          <w:sz w:val="24"/>
          <w:szCs w:val="24"/>
        </w:rPr>
        <w:lastRenderedPageBreak/>
        <w:t xml:space="preserve">Ma se sono piattaforme </w:t>
      </w:r>
      <w:r w:rsidRPr="009C70A0">
        <w:rPr>
          <w:rFonts w:ascii="Times New Roman" w:hAnsi="Times New Roman" w:cs="Times New Roman"/>
          <w:i/>
          <w:sz w:val="24"/>
          <w:szCs w:val="24"/>
        </w:rPr>
        <w:t>solo</w:t>
      </w:r>
      <w:r w:rsidRPr="009C70A0">
        <w:rPr>
          <w:rFonts w:ascii="Times New Roman" w:hAnsi="Times New Roman" w:cs="Times New Roman"/>
          <w:sz w:val="24"/>
          <w:szCs w:val="24"/>
        </w:rPr>
        <w:t xml:space="preserve"> quelle che organizza</w:t>
      </w:r>
      <w:r w:rsidR="00477C65" w:rsidRPr="009C70A0">
        <w:rPr>
          <w:rFonts w:ascii="Times New Roman" w:hAnsi="Times New Roman" w:cs="Times New Roman"/>
          <w:sz w:val="24"/>
          <w:szCs w:val="24"/>
        </w:rPr>
        <w:t xml:space="preserve">no </w:t>
      </w:r>
      <w:r w:rsidR="00E66E82" w:rsidRPr="009C70A0">
        <w:rPr>
          <w:rFonts w:ascii="Times New Roman" w:hAnsi="Times New Roman" w:cs="Times New Roman"/>
          <w:sz w:val="24"/>
          <w:szCs w:val="24"/>
        </w:rPr>
        <w:t>la prestazione del lavoro alt</w:t>
      </w:r>
      <w:r w:rsidRPr="009C70A0">
        <w:rPr>
          <w:rFonts w:ascii="Times New Roman" w:hAnsi="Times New Roman" w:cs="Times New Roman"/>
          <w:sz w:val="24"/>
          <w:szCs w:val="24"/>
        </w:rPr>
        <w:t xml:space="preserve">rui, allora non sono piattaforme quelle che hanno con chi lavora un rapporto autonomo, ivi comprese le collaborazioni coordinate e continuative </w:t>
      </w:r>
      <w:r w:rsidR="00E66E82" w:rsidRPr="009C70A0">
        <w:rPr>
          <w:rFonts w:ascii="Times New Roman" w:hAnsi="Times New Roman" w:cs="Times New Roman"/>
          <w:sz w:val="24"/>
          <w:szCs w:val="24"/>
        </w:rPr>
        <w:t xml:space="preserve">nelle quali “il collaboratore organizza autonomamente l’attività lavorativa” (art. 409, n. 3, ultimo periodo, Codice di procedura civile, come modificato dall’art. 15, co. 1, </w:t>
      </w:r>
      <w:r w:rsidR="00E66E82" w:rsidRPr="009C70A0">
        <w:rPr>
          <w:rFonts w:ascii="Times New Roman" w:hAnsi="Times New Roman" w:cs="Times New Roman"/>
          <w:i/>
          <w:sz w:val="24"/>
          <w:szCs w:val="24"/>
        </w:rPr>
        <w:t>lett. a)</w:t>
      </w:r>
      <w:r w:rsidR="00E66E82" w:rsidRPr="009C70A0">
        <w:rPr>
          <w:rFonts w:ascii="Times New Roman" w:hAnsi="Times New Roman" w:cs="Times New Roman"/>
          <w:sz w:val="24"/>
          <w:szCs w:val="24"/>
        </w:rPr>
        <w:t xml:space="preserve">, della legge 81/2017): quindi a costoro il decreto non si potrebbe applicare. </w:t>
      </w:r>
    </w:p>
    <w:p w:rsidR="00E66E82" w:rsidRPr="009C70A0" w:rsidRDefault="00E66E82" w:rsidP="00F52C9E">
      <w:pPr>
        <w:pStyle w:val="Paragrafoelenco"/>
        <w:spacing w:after="0" w:line="276" w:lineRule="auto"/>
        <w:ind w:left="0" w:firstLine="360"/>
        <w:jc w:val="both"/>
        <w:rPr>
          <w:rFonts w:ascii="Times New Roman" w:hAnsi="Times New Roman" w:cs="Times New Roman"/>
          <w:sz w:val="24"/>
          <w:szCs w:val="24"/>
        </w:rPr>
      </w:pPr>
      <w:r w:rsidRPr="009C70A0">
        <w:rPr>
          <w:rFonts w:ascii="Times New Roman" w:hAnsi="Times New Roman" w:cs="Times New Roman"/>
          <w:sz w:val="24"/>
          <w:szCs w:val="24"/>
        </w:rPr>
        <w:t>La contraddizione pare palese</w:t>
      </w:r>
      <w:r w:rsidR="00F048AD" w:rsidRPr="009C70A0">
        <w:rPr>
          <w:rFonts w:ascii="Times New Roman" w:hAnsi="Times New Roman" w:cs="Times New Roman"/>
          <w:sz w:val="24"/>
          <w:szCs w:val="24"/>
        </w:rPr>
        <w:t xml:space="preserve">, e </w:t>
      </w:r>
      <w:r w:rsidR="00EE1432">
        <w:rPr>
          <w:rFonts w:ascii="Times New Roman" w:hAnsi="Times New Roman" w:cs="Times New Roman"/>
          <w:sz w:val="24"/>
          <w:szCs w:val="24"/>
        </w:rPr>
        <w:t>impinge anche sull’art. 5, come</w:t>
      </w:r>
      <w:r w:rsidR="00F048AD" w:rsidRPr="009C70A0">
        <w:rPr>
          <w:rFonts w:ascii="Times New Roman" w:hAnsi="Times New Roman" w:cs="Times New Roman"/>
          <w:sz w:val="24"/>
          <w:szCs w:val="24"/>
        </w:rPr>
        <w:t xml:space="preserve"> si dirà</w:t>
      </w:r>
      <w:r w:rsidR="00EE1432">
        <w:rPr>
          <w:rFonts w:ascii="Times New Roman" w:hAnsi="Times New Roman" w:cs="Times New Roman"/>
          <w:sz w:val="24"/>
          <w:szCs w:val="24"/>
        </w:rPr>
        <w:t>, oltre che sul co. 2 dello stesso art. 3.</w:t>
      </w:r>
    </w:p>
    <w:p w:rsidR="00B3279F" w:rsidRPr="009C70A0" w:rsidRDefault="00B3279F" w:rsidP="00F52C9E">
      <w:pPr>
        <w:pStyle w:val="Paragrafoelenco"/>
        <w:spacing w:after="0" w:line="276" w:lineRule="auto"/>
        <w:ind w:left="0" w:firstLine="360"/>
        <w:jc w:val="both"/>
        <w:rPr>
          <w:rFonts w:ascii="Times New Roman" w:hAnsi="Times New Roman" w:cs="Times New Roman"/>
          <w:sz w:val="24"/>
          <w:szCs w:val="24"/>
        </w:rPr>
      </w:pPr>
      <w:r w:rsidRPr="009C70A0">
        <w:rPr>
          <w:rFonts w:ascii="Times New Roman" w:hAnsi="Times New Roman" w:cs="Times New Roman"/>
          <w:sz w:val="24"/>
          <w:szCs w:val="24"/>
        </w:rPr>
        <w:t>Nella Direttiva la questione non si pone, perché la definizione europea di lavoratore non prevede l’articolazione della qualificazione delle prestazioni di lavoro come avviene invece in Italia ed è nello schema riportata all’art. 2, co. 2, di cui si è già detto.</w:t>
      </w:r>
    </w:p>
    <w:p w:rsidR="00D00926" w:rsidRPr="009C70A0" w:rsidRDefault="009F3E32" w:rsidP="00F52C9E">
      <w:pPr>
        <w:pStyle w:val="Paragrafoelenco"/>
        <w:spacing w:after="0" w:line="276" w:lineRule="auto"/>
        <w:ind w:left="0" w:firstLine="360"/>
        <w:jc w:val="both"/>
        <w:rPr>
          <w:rFonts w:ascii="Times New Roman" w:hAnsi="Times New Roman" w:cs="Times New Roman"/>
          <w:sz w:val="24"/>
          <w:szCs w:val="24"/>
        </w:rPr>
      </w:pPr>
      <w:r w:rsidRPr="009C70A0">
        <w:rPr>
          <w:rFonts w:ascii="Times New Roman" w:hAnsi="Times New Roman" w:cs="Times New Roman"/>
          <w:sz w:val="24"/>
          <w:szCs w:val="24"/>
        </w:rPr>
        <w:t xml:space="preserve">È ben vero che la delegazione legislativa </w:t>
      </w:r>
      <w:r w:rsidR="009C70A0" w:rsidRPr="009C70A0">
        <w:rPr>
          <w:rFonts w:ascii="Times New Roman" w:hAnsi="Times New Roman" w:cs="Times New Roman"/>
          <w:sz w:val="24"/>
          <w:szCs w:val="24"/>
        </w:rPr>
        <w:t xml:space="preserve">contenuta nell’art. 11 della legge </w:t>
      </w:r>
      <w:r w:rsidR="009C70A0" w:rsidRPr="009C70A0">
        <w:rPr>
          <w:rFonts w:ascii="Times New Roman" w:eastAsia="Times New Roman" w:hAnsi="Times New Roman" w:cs="Times New Roman"/>
          <w:sz w:val="24"/>
          <w:szCs w:val="24"/>
          <w:lang w:eastAsia="it-IT"/>
        </w:rPr>
        <w:t xml:space="preserve">13 giugno 2025, n. 91, il co. 1, </w:t>
      </w:r>
      <w:r w:rsidR="009C70A0" w:rsidRPr="009C70A0">
        <w:rPr>
          <w:rFonts w:ascii="Times New Roman" w:eastAsia="Times New Roman" w:hAnsi="Times New Roman" w:cs="Times New Roman"/>
          <w:i/>
          <w:sz w:val="24"/>
          <w:szCs w:val="24"/>
          <w:lang w:eastAsia="it-IT"/>
        </w:rPr>
        <w:t>lett. b)</w:t>
      </w:r>
      <w:r w:rsidR="009C70A0" w:rsidRPr="009C70A0">
        <w:rPr>
          <w:rFonts w:ascii="Times New Roman" w:eastAsia="Times New Roman" w:hAnsi="Times New Roman" w:cs="Times New Roman"/>
          <w:sz w:val="24"/>
          <w:szCs w:val="24"/>
          <w:lang w:eastAsia="it-IT"/>
        </w:rPr>
        <w:t>, prevede che il legislatore delegato debba “adeguare la definizione di «piattaforma di lavoro digitale» contenuta nella normativa vigente alle definizioni contenute nella direttiva (UE) 2024/2831”: e tuttavia è sfuggito che la ripetizione letterale della formulazione della Direttiva nell’ambiente normativo del diritto del lavoro italiano crea l’insolubile contraddizione di cui è detto: insolubile a meno che non si intendano abrogare le figure delle collaborazioni coordinate e continuative e delle collaborazio</w:t>
      </w:r>
      <w:r w:rsidR="00845944">
        <w:rPr>
          <w:rFonts w:ascii="Times New Roman" w:eastAsia="Times New Roman" w:hAnsi="Times New Roman" w:cs="Times New Roman"/>
          <w:sz w:val="24"/>
          <w:szCs w:val="24"/>
          <w:lang w:eastAsia="it-IT"/>
        </w:rPr>
        <w:t>ni</w:t>
      </w:r>
      <w:r w:rsidR="009C70A0" w:rsidRPr="009C70A0">
        <w:rPr>
          <w:rFonts w:ascii="Times New Roman" w:eastAsia="Times New Roman" w:hAnsi="Times New Roman" w:cs="Times New Roman"/>
          <w:sz w:val="24"/>
          <w:szCs w:val="24"/>
          <w:lang w:eastAsia="it-IT"/>
        </w:rPr>
        <w:t xml:space="preserve"> etero-organizzate, e modificare la definizione del contratto d’opera rendendo possibile che il lavoratore autonomo su piattaforma veda le propria prestazione organizzata dalla piattaforma stessa</w:t>
      </w:r>
      <w:r w:rsidR="009C70A0">
        <w:rPr>
          <w:rFonts w:ascii="Times New Roman" w:eastAsia="Times New Roman" w:hAnsi="Times New Roman" w:cs="Times New Roman"/>
          <w:sz w:val="24"/>
          <w:szCs w:val="24"/>
          <w:lang w:eastAsia="it-IT"/>
        </w:rPr>
        <w:t>.</w:t>
      </w:r>
    </w:p>
    <w:p w:rsidR="00D00926" w:rsidRDefault="00554D54" w:rsidP="00F52C9E">
      <w:pPr>
        <w:pStyle w:val="Paragrafoelenco"/>
        <w:spacing w:after="0" w:line="276"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Esclusa ovviamente questa soluzione, il solo modo di recuperare la coerenza sistematica del decreto legislativo è </w:t>
      </w:r>
      <w:r w:rsidRPr="00484DC0">
        <w:rPr>
          <w:rFonts w:ascii="Times New Roman" w:hAnsi="Times New Roman" w:cs="Times New Roman"/>
          <w:b/>
          <w:sz w:val="24"/>
          <w:szCs w:val="24"/>
        </w:rPr>
        <w:t xml:space="preserve">di </w:t>
      </w:r>
      <w:r w:rsidRPr="00484DC0">
        <w:rPr>
          <w:rFonts w:ascii="Times New Roman" w:hAnsi="Times New Roman" w:cs="Times New Roman"/>
          <w:b/>
          <w:i/>
          <w:sz w:val="24"/>
          <w:szCs w:val="24"/>
        </w:rPr>
        <w:t>riformulare l’art. 2, co. 2, in questi termini</w:t>
      </w:r>
      <w:r w:rsidRPr="00484DC0">
        <w:rPr>
          <w:rFonts w:ascii="Times New Roman" w:hAnsi="Times New Roman" w:cs="Times New Roman"/>
          <w:b/>
          <w:sz w:val="24"/>
          <w:szCs w:val="24"/>
        </w:rPr>
        <w:t xml:space="preserve">: “Il presente decreto si applica a tutte le persone che svolgono un lavoro mediante piattaforme digitali”, </w:t>
      </w:r>
      <w:r w:rsidRPr="00484DC0">
        <w:rPr>
          <w:rFonts w:ascii="Times New Roman" w:hAnsi="Times New Roman" w:cs="Times New Roman"/>
          <w:b/>
          <w:i/>
          <w:sz w:val="24"/>
          <w:szCs w:val="24"/>
        </w:rPr>
        <w:t>cancellando le righe successive presenti nello schema</w:t>
      </w:r>
      <w:r>
        <w:rPr>
          <w:rFonts w:ascii="Times New Roman" w:hAnsi="Times New Roman" w:cs="Times New Roman"/>
          <w:sz w:val="24"/>
          <w:szCs w:val="24"/>
        </w:rPr>
        <w:t>; il che peraltro vorrebbe dire prendere atto del fatto che non esistono nella realtà  collaboratori coordinati e continuativi o lavoratori autonomi, cosa abbastanza nota a chi studi l’effettivo svolgimento delle attività e peraltro in linea con l’attività di indagine e i provvedimenti presi dalla Procura di Milano e ben noti anche all’opinione pubblica.</w:t>
      </w:r>
    </w:p>
    <w:p w:rsidR="003B04BE" w:rsidRDefault="00554D54" w:rsidP="00F52C9E">
      <w:pPr>
        <w:pStyle w:val="Paragrafoelenco"/>
        <w:spacing w:after="0" w:line="276" w:lineRule="auto"/>
        <w:ind w:left="0" w:firstLine="360"/>
        <w:jc w:val="both"/>
        <w:rPr>
          <w:rFonts w:ascii="Times New Roman" w:hAnsi="Times New Roman" w:cs="Times New Roman"/>
          <w:sz w:val="24"/>
          <w:szCs w:val="24"/>
        </w:rPr>
      </w:pPr>
      <w:r>
        <w:rPr>
          <w:rFonts w:ascii="Times New Roman" w:hAnsi="Times New Roman" w:cs="Times New Roman"/>
          <w:sz w:val="24"/>
          <w:szCs w:val="24"/>
        </w:rPr>
        <w:t>Ancora, questo tema fondamentale dovrà essere ripreso nell’esame degli articoli seguenti.</w:t>
      </w:r>
      <w:r w:rsidR="003B04BE">
        <w:rPr>
          <w:rFonts w:ascii="Times New Roman" w:hAnsi="Times New Roman" w:cs="Times New Roman"/>
          <w:sz w:val="24"/>
          <w:szCs w:val="24"/>
        </w:rPr>
        <w:t xml:space="preserve"> </w:t>
      </w:r>
    </w:p>
    <w:p w:rsidR="00554D54" w:rsidRDefault="00554D54" w:rsidP="00F52C9E">
      <w:pPr>
        <w:pStyle w:val="Paragrafoelenco"/>
        <w:spacing w:after="0" w:line="276" w:lineRule="auto"/>
        <w:ind w:left="0" w:firstLine="360"/>
        <w:jc w:val="both"/>
        <w:rPr>
          <w:rFonts w:ascii="Times New Roman" w:hAnsi="Times New Roman" w:cs="Times New Roman"/>
          <w:sz w:val="24"/>
          <w:szCs w:val="24"/>
        </w:rPr>
      </w:pPr>
      <w:r w:rsidRPr="003B04BE">
        <w:rPr>
          <w:rFonts w:ascii="Times New Roman" w:hAnsi="Times New Roman" w:cs="Times New Roman"/>
          <w:sz w:val="24"/>
          <w:szCs w:val="24"/>
        </w:rPr>
        <w:t xml:space="preserve">L’art. 3, co. 1, </w:t>
      </w:r>
      <w:r w:rsidRPr="003B04BE">
        <w:rPr>
          <w:rFonts w:ascii="Times New Roman" w:hAnsi="Times New Roman" w:cs="Times New Roman"/>
          <w:i/>
          <w:sz w:val="24"/>
          <w:szCs w:val="24"/>
        </w:rPr>
        <w:t>lett c)</w:t>
      </w:r>
      <w:r w:rsidRPr="003B04BE">
        <w:rPr>
          <w:rFonts w:ascii="Times New Roman" w:hAnsi="Times New Roman" w:cs="Times New Roman"/>
          <w:sz w:val="24"/>
          <w:szCs w:val="24"/>
        </w:rPr>
        <w:t xml:space="preserve">, dello schema di decreto legislativo può invece essere conservato, giacché </w:t>
      </w:r>
      <w:r w:rsidR="003B04BE" w:rsidRPr="003B04BE">
        <w:rPr>
          <w:rFonts w:ascii="Times New Roman" w:hAnsi="Times New Roman" w:cs="Times New Roman"/>
          <w:sz w:val="24"/>
          <w:szCs w:val="24"/>
        </w:rPr>
        <w:t>“«persona che svolge un lavoro mediante piattaforme digitali»: chiunque svolga un lavoro mediante</w:t>
      </w:r>
      <w:r w:rsidR="003B04BE">
        <w:rPr>
          <w:rFonts w:ascii="Times New Roman" w:hAnsi="Times New Roman" w:cs="Times New Roman"/>
          <w:sz w:val="24"/>
          <w:szCs w:val="24"/>
        </w:rPr>
        <w:t xml:space="preserve"> </w:t>
      </w:r>
      <w:r w:rsidR="003B04BE" w:rsidRPr="003B04BE">
        <w:rPr>
          <w:rFonts w:ascii="Times New Roman" w:hAnsi="Times New Roman" w:cs="Times New Roman"/>
          <w:sz w:val="24"/>
          <w:szCs w:val="24"/>
        </w:rPr>
        <w:t>piattaforme digitali, indipendentemente dalla natura del rapporto contrattuale o dalla qualificazione</w:t>
      </w:r>
      <w:r w:rsidR="003B04BE">
        <w:rPr>
          <w:rFonts w:ascii="Times New Roman" w:hAnsi="Times New Roman" w:cs="Times New Roman"/>
          <w:sz w:val="24"/>
          <w:szCs w:val="24"/>
        </w:rPr>
        <w:t xml:space="preserve"> </w:t>
      </w:r>
      <w:r w:rsidR="003B04BE" w:rsidRPr="003B04BE">
        <w:rPr>
          <w:rFonts w:ascii="Times New Roman" w:hAnsi="Times New Roman" w:cs="Times New Roman"/>
          <w:sz w:val="24"/>
          <w:szCs w:val="24"/>
        </w:rPr>
        <w:t>di tale rapporto da parte dei soggetti interessati”</w:t>
      </w:r>
      <w:r w:rsidR="003B04BE">
        <w:rPr>
          <w:rFonts w:ascii="Times New Roman" w:hAnsi="Times New Roman" w:cs="Times New Roman"/>
          <w:sz w:val="24"/>
          <w:szCs w:val="24"/>
        </w:rPr>
        <w:t xml:space="preserve"> sarebbe correttamen</w:t>
      </w:r>
      <w:r w:rsidR="00062EF8">
        <w:rPr>
          <w:rFonts w:ascii="Times New Roman" w:hAnsi="Times New Roman" w:cs="Times New Roman"/>
          <w:sz w:val="24"/>
          <w:szCs w:val="24"/>
        </w:rPr>
        <w:t>t</w:t>
      </w:r>
      <w:r w:rsidR="003B04BE">
        <w:rPr>
          <w:rFonts w:ascii="Times New Roman" w:hAnsi="Times New Roman" w:cs="Times New Roman"/>
          <w:sz w:val="24"/>
          <w:szCs w:val="24"/>
        </w:rPr>
        <w:t>e riferito soltanto a chi abbia un contratto di lavoro da qualificare subordinato o di collaborazione che sia però definibile etero-organizzata.</w:t>
      </w:r>
    </w:p>
    <w:p w:rsidR="0011060F" w:rsidRDefault="0011060F" w:rsidP="00F52C9E">
      <w:pPr>
        <w:pStyle w:val="Default"/>
        <w:spacing w:line="276" w:lineRule="auto"/>
        <w:ind w:firstLine="360"/>
        <w:jc w:val="both"/>
        <w:rPr>
          <w:rFonts w:ascii="Times New Roman" w:hAnsi="Times New Roman" w:cs="Times New Roman"/>
        </w:rPr>
      </w:pPr>
      <w:r>
        <w:rPr>
          <w:rFonts w:ascii="Times New Roman" w:hAnsi="Times New Roman" w:cs="Times New Roman"/>
        </w:rPr>
        <w:t xml:space="preserve">Di nuovo </w:t>
      </w:r>
      <w:r w:rsidRPr="0011060F">
        <w:rPr>
          <w:rFonts w:ascii="Times New Roman" w:hAnsi="Times New Roman" w:cs="Times New Roman"/>
        </w:rPr>
        <w:t xml:space="preserve">nell’art. 3, co. 1, la lett. </w:t>
      </w:r>
      <w:r w:rsidRPr="0011060F">
        <w:rPr>
          <w:rFonts w:ascii="Times New Roman" w:hAnsi="Times New Roman" w:cs="Times New Roman"/>
          <w:i/>
        </w:rPr>
        <w:t>f)</w:t>
      </w:r>
      <w:r w:rsidRPr="0011060F">
        <w:rPr>
          <w:rFonts w:ascii="Times New Roman" w:hAnsi="Times New Roman" w:cs="Times New Roman"/>
        </w:rPr>
        <w:t>, contiene una previsione sulla quale il legislatore nazionale ha uno spazio significativo. Infatti, l’art. 2, par. 1, lett.f), della Direttiva prevede tra le definizioni che siano considerati “«rappresentanti dei lavoratori»: i rappresentanti dei lavoratori delle piattaforme digitali, quali i sindacati e i rappresentanti liberamente eletti dai lavoratori delle piattaforme digitali conformemente al diritto e alle prassi nazionali”: e proprio il rinvio al diritto e alle prassi nazionali appare importante.</w:t>
      </w:r>
    </w:p>
    <w:p w:rsidR="0011060F" w:rsidRDefault="0011060F" w:rsidP="00F52C9E">
      <w:pPr>
        <w:autoSpaceDE w:val="0"/>
        <w:autoSpaceDN w:val="0"/>
        <w:adjustRightInd w:val="0"/>
        <w:spacing w:after="0" w:line="276" w:lineRule="auto"/>
        <w:ind w:firstLine="360"/>
        <w:jc w:val="both"/>
        <w:rPr>
          <w:rFonts w:ascii="Times New Roman" w:hAnsi="Times New Roman" w:cs="Times New Roman"/>
          <w:sz w:val="24"/>
          <w:szCs w:val="24"/>
        </w:rPr>
      </w:pPr>
      <w:r w:rsidRPr="0011060F">
        <w:rPr>
          <w:rFonts w:ascii="Times New Roman" w:hAnsi="Times New Roman" w:cs="Times New Roman"/>
          <w:sz w:val="24"/>
          <w:szCs w:val="24"/>
        </w:rPr>
        <w:t>Lo schema del decreto legislativo prescrive che siano considerati “«rapprese</w:t>
      </w:r>
      <w:r w:rsidR="001950F9">
        <w:rPr>
          <w:rFonts w:ascii="Times New Roman" w:hAnsi="Times New Roman" w:cs="Times New Roman"/>
          <w:sz w:val="24"/>
          <w:szCs w:val="24"/>
        </w:rPr>
        <w:t>n</w:t>
      </w:r>
      <w:r w:rsidRPr="0011060F">
        <w:rPr>
          <w:rFonts w:ascii="Times New Roman" w:hAnsi="Times New Roman" w:cs="Times New Roman"/>
          <w:sz w:val="24"/>
          <w:szCs w:val="24"/>
        </w:rPr>
        <w:t xml:space="preserve">tanti dei </w:t>
      </w:r>
      <w:r>
        <w:rPr>
          <w:rFonts w:ascii="Times New Roman" w:hAnsi="Times New Roman" w:cs="Times New Roman"/>
          <w:sz w:val="24"/>
          <w:szCs w:val="24"/>
        </w:rPr>
        <w:t>l</w:t>
      </w:r>
      <w:r w:rsidRPr="0011060F">
        <w:rPr>
          <w:rFonts w:ascii="Times New Roman" w:hAnsi="Times New Roman" w:cs="Times New Roman"/>
          <w:sz w:val="24"/>
          <w:szCs w:val="24"/>
        </w:rPr>
        <w:t>avoratori»: i rappresentanti dei lavoratori delle piattaforme digitali, liberamente</w:t>
      </w:r>
      <w:r>
        <w:rPr>
          <w:rFonts w:ascii="Times New Roman" w:hAnsi="Times New Roman" w:cs="Times New Roman"/>
          <w:sz w:val="24"/>
          <w:szCs w:val="24"/>
        </w:rPr>
        <w:t xml:space="preserve"> </w:t>
      </w:r>
      <w:r w:rsidRPr="0011060F">
        <w:rPr>
          <w:rFonts w:ascii="Times New Roman" w:hAnsi="Times New Roman" w:cs="Times New Roman"/>
          <w:sz w:val="24"/>
          <w:szCs w:val="24"/>
        </w:rPr>
        <w:t>eletti, e le organizzazioni sindacali dei lavoratori comparativamente più rappresentative sul piano</w:t>
      </w:r>
      <w:r>
        <w:rPr>
          <w:rFonts w:ascii="Times New Roman" w:hAnsi="Times New Roman" w:cs="Times New Roman"/>
          <w:sz w:val="24"/>
          <w:szCs w:val="24"/>
        </w:rPr>
        <w:t xml:space="preserve"> </w:t>
      </w:r>
      <w:r w:rsidRPr="0011060F">
        <w:rPr>
          <w:rFonts w:ascii="Times New Roman" w:hAnsi="Times New Roman" w:cs="Times New Roman"/>
          <w:sz w:val="24"/>
          <w:szCs w:val="24"/>
        </w:rPr>
        <w:t>nazionale</w:t>
      </w:r>
      <w:r>
        <w:rPr>
          <w:rFonts w:ascii="Times New Roman" w:hAnsi="Times New Roman" w:cs="Times New Roman"/>
          <w:sz w:val="24"/>
          <w:szCs w:val="24"/>
        </w:rPr>
        <w:t>”.</w:t>
      </w:r>
    </w:p>
    <w:p w:rsidR="0011060F" w:rsidRDefault="0011060F" w:rsidP="00F52C9E">
      <w:pPr>
        <w:autoSpaceDE w:val="0"/>
        <w:autoSpaceDN w:val="0"/>
        <w:adjustRightInd w:val="0"/>
        <w:spacing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Mi pare che qui siano contenuti due precetti </w:t>
      </w:r>
      <w:r w:rsidR="00924EDF">
        <w:rPr>
          <w:rFonts w:ascii="Times New Roman" w:hAnsi="Times New Roman" w:cs="Times New Roman"/>
          <w:sz w:val="24"/>
          <w:szCs w:val="24"/>
        </w:rPr>
        <w:t xml:space="preserve">legislativi </w:t>
      </w:r>
      <w:r>
        <w:rPr>
          <w:rFonts w:ascii="Times New Roman" w:hAnsi="Times New Roman" w:cs="Times New Roman"/>
          <w:sz w:val="24"/>
          <w:szCs w:val="24"/>
        </w:rPr>
        <w:t>differenti in tema di chi abbia titolo a rappresentare i lavoratori e le lavoratric</w:t>
      </w:r>
      <w:r w:rsidR="00F9400B">
        <w:rPr>
          <w:rFonts w:ascii="Times New Roman" w:hAnsi="Times New Roman" w:cs="Times New Roman"/>
          <w:sz w:val="24"/>
          <w:szCs w:val="24"/>
        </w:rPr>
        <w:t>i</w:t>
      </w:r>
      <w:r>
        <w:rPr>
          <w:rFonts w:ascii="Times New Roman" w:hAnsi="Times New Roman" w:cs="Times New Roman"/>
          <w:sz w:val="24"/>
          <w:szCs w:val="24"/>
        </w:rPr>
        <w:t>.</w:t>
      </w:r>
    </w:p>
    <w:p w:rsidR="001950F9" w:rsidRDefault="00924EDF" w:rsidP="00F52C9E">
      <w:pPr>
        <w:autoSpaceDE w:val="0"/>
        <w:autoSpaceDN w:val="0"/>
        <w:adjustRightInd w:val="0"/>
        <w:spacing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t>Su</w:t>
      </w:r>
      <w:r w:rsidR="00F9400B">
        <w:rPr>
          <w:rFonts w:ascii="Times New Roman" w:hAnsi="Times New Roman" w:cs="Times New Roman"/>
          <w:sz w:val="24"/>
          <w:szCs w:val="24"/>
        </w:rPr>
        <w:t xml:space="preserve">l primo, </w:t>
      </w:r>
      <w:r w:rsidR="00034335">
        <w:rPr>
          <w:rFonts w:ascii="Times New Roman" w:hAnsi="Times New Roman" w:cs="Times New Roman"/>
          <w:sz w:val="24"/>
          <w:szCs w:val="24"/>
        </w:rPr>
        <w:t>occorre osservare che secondo lo schema, che riprende alla lettera la Direttiva,  rappresentanti dei lavoratori e delle lavoratrici che erogano la propria prestazione tramite piattaforma saranno quelli “liberamente eletti”: nel sistema gius</w:t>
      </w:r>
      <w:r w:rsidR="00781016">
        <w:rPr>
          <w:rFonts w:ascii="Times New Roman" w:hAnsi="Times New Roman" w:cs="Times New Roman"/>
          <w:sz w:val="24"/>
          <w:szCs w:val="24"/>
        </w:rPr>
        <w:t xml:space="preserve">-sindacale italiano, questa previsione esclude dal ruolo di rappresentanti sindacali nel campo del lavoro con le piattaforme digitali  le Rappresentanze sindacali aziendali costituite </w:t>
      </w:r>
      <w:r w:rsidR="00781016" w:rsidRPr="00781016">
        <w:rPr>
          <w:rFonts w:ascii="Times New Roman" w:hAnsi="Times New Roman" w:cs="Times New Roman"/>
          <w:i/>
          <w:sz w:val="24"/>
          <w:szCs w:val="24"/>
        </w:rPr>
        <w:t>ex</w:t>
      </w:r>
      <w:r w:rsidR="00781016">
        <w:rPr>
          <w:rFonts w:ascii="Times New Roman" w:hAnsi="Times New Roman" w:cs="Times New Roman"/>
          <w:sz w:val="24"/>
          <w:szCs w:val="24"/>
        </w:rPr>
        <w:t xml:space="preserve"> art. 19 dello Statuto dei lavoratori sì “a iniziativa dei lavoratori”, ma non elette: e non sembra che la lettera della previsione, identica come si è detto nella Direttiva e nello schema di decreto, po</w:t>
      </w:r>
      <w:r w:rsidR="00A5042A">
        <w:rPr>
          <w:rFonts w:ascii="Times New Roman" w:hAnsi="Times New Roman" w:cs="Times New Roman"/>
          <w:sz w:val="24"/>
          <w:szCs w:val="24"/>
        </w:rPr>
        <w:t xml:space="preserve">ssa essere forzata al punto da </w:t>
      </w:r>
      <w:r w:rsidR="00781016">
        <w:rPr>
          <w:rFonts w:ascii="Times New Roman" w:hAnsi="Times New Roman" w:cs="Times New Roman"/>
          <w:sz w:val="24"/>
          <w:szCs w:val="24"/>
        </w:rPr>
        <w:t>farvele rientrare</w:t>
      </w:r>
      <w:r w:rsidR="001950F9">
        <w:rPr>
          <w:rFonts w:ascii="Times New Roman" w:hAnsi="Times New Roman" w:cs="Times New Roman"/>
          <w:sz w:val="24"/>
          <w:szCs w:val="24"/>
        </w:rPr>
        <w:t>.</w:t>
      </w:r>
    </w:p>
    <w:p w:rsidR="00781016" w:rsidRPr="00924EDF" w:rsidRDefault="001950F9" w:rsidP="00F52C9E">
      <w:pPr>
        <w:autoSpaceDE w:val="0"/>
        <w:autoSpaceDN w:val="0"/>
        <w:adjustRightInd w:val="0"/>
        <w:spacing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Pertanto, nella definizione di rappresentanti dei lavoratori (subordinati, come emerge dalla precedente </w:t>
      </w:r>
      <w:r w:rsidRPr="001950F9">
        <w:rPr>
          <w:rFonts w:ascii="Times New Roman" w:hAnsi="Times New Roman" w:cs="Times New Roman"/>
          <w:i/>
          <w:sz w:val="24"/>
          <w:szCs w:val="24"/>
        </w:rPr>
        <w:t>lett. d)</w:t>
      </w:r>
      <w:r>
        <w:rPr>
          <w:rFonts w:ascii="Times New Roman" w:hAnsi="Times New Roman" w:cs="Times New Roman"/>
          <w:sz w:val="24"/>
          <w:szCs w:val="24"/>
        </w:rPr>
        <w:t xml:space="preserve">) liberamente eletti potrebbero invece rientrare le eventuali Rappresentanze Sindacali Unitarie disciplinate dal c.d. Testo Unico sulla rappresentanza del 2014 concordato tra le parti sociali. Qui si pone un problema: nel settore privato, del quale qui si tratta, anche i rinvii alle RSU che si trovano in diverse disposizioni di legge non hanno sinora inteso aggiungere alcunché, rimettendo agli accordi contrattuali esistenti la configurazione e la disciplina delle stesse. Se dunque il decreto fosse approvato con l’attuale formulazione, potrebbero forse in futuro nascere contenziosi sul fatto che siano “liberamente eletti” rappresentanti </w:t>
      </w:r>
      <w:r w:rsidR="00924EDF">
        <w:rPr>
          <w:rFonts w:ascii="Times New Roman" w:hAnsi="Times New Roman" w:cs="Times New Roman"/>
          <w:sz w:val="24"/>
          <w:szCs w:val="24"/>
        </w:rPr>
        <w:t xml:space="preserve">le cui organizzazioni di appartenenza </w:t>
      </w:r>
      <w:r>
        <w:rPr>
          <w:rFonts w:ascii="Times New Roman" w:hAnsi="Times New Roman" w:cs="Times New Roman"/>
          <w:sz w:val="24"/>
          <w:szCs w:val="24"/>
        </w:rPr>
        <w:t xml:space="preserve">abbiano dovuto esprimere necessariamente </w:t>
      </w:r>
      <w:r w:rsidR="00924EDF">
        <w:rPr>
          <w:rFonts w:ascii="Times New Roman" w:hAnsi="Times New Roman" w:cs="Times New Roman"/>
          <w:sz w:val="24"/>
          <w:szCs w:val="24"/>
        </w:rPr>
        <w:t xml:space="preserve">il consenso alle articolate previsioni dell’accordo interconfederale </w:t>
      </w:r>
      <w:r w:rsidR="00924EDF" w:rsidRPr="00924EDF">
        <w:rPr>
          <w:rFonts w:ascii="Times New Roman" w:hAnsi="Times New Roman" w:cs="Times New Roman"/>
          <w:sz w:val="24"/>
          <w:szCs w:val="24"/>
        </w:rPr>
        <w:t xml:space="preserve">del 2014 come condizioni per essere ammesse alla presentazione delle liste. Ci si potrebbe interrogare </w:t>
      </w:r>
      <w:r w:rsidR="00924EDF" w:rsidRPr="00F52C9E">
        <w:rPr>
          <w:rFonts w:ascii="Times New Roman" w:hAnsi="Times New Roman" w:cs="Times New Roman"/>
          <w:i/>
          <w:sz w:val="24"/>
          <w:szCs w:val="24"/>
        </w:rPr>
        <w:t>sull’opportunità invece di legificare – proprio per rispettare al meglio il “liberamente eletti” della Direttiva – alm</w:t>
      </w:r>
      <w:r w:rsidR="00B65787" w:rsidRPr="00F52C9E">
        <w:rPr>
          <w:rFonts w:ascii="Times New Roman" w:hAnsi="Times New Roman" w:cs="Times New Roman"/>
          <w:i/>
          <w:sz w:val="24"/>
          <w:szCs w:val="24"/>
        </w:rPr>
        <w:t>eno i criteri inderogabili dell’</w:t>
      </w:r>
      <w:r w:rsidR="00924EDF" w:rsidRPr="00F52C9E">
        <w:rPr>
          <w:rFonts w:ascii="Times New Roman" w:hAnsi="Times New Roman" w:cs="Times New Roman"/>
          <w:i/>
          <w:sz w:val="24"/>
          <w:szCs w:val="24"/>
        </w:rPr>
        <w:t>elezione</w:t>
      </w:r>
      <w:r w:rsidR="00924EDF" w:rsidRPr="00924EDF">
        <w:rPr>
          <w:rFonts w:ascii="Times New Roman" w:hAnsi="Times New Roman" w:cs="Times New Roman"/>
          <w:sz w:val="24"/>
          <w:szCs w:val="24"/>
        </w:rPr>
        <w:t>, riproducendo le previsioni che ne regolano l’</w:t>
      </w:r>
      <w:r w:rsidR="00EE1432">
        <w:rPr>
          <w:rFonts w:ascii="Times New Roman" w:hAnsi="Times New Roman" w:cs="Times New Roman"/>
          <w:sz w:val="24"/>
          <w:szCs w:val="24"/>
        </w:rPr>
        <w:t>elezione</w:t>
      </w:r>
      <w:r w:rsidR="00924EDF" w:rsidRPr="00924EDF">
        <w:rPr>
          <w:rFonts w:ascii="Times New Roman" w:hAnsi="Times New Roman" w:cs="Times New Roman"/>
          <w:sz w:val="24"/>
          <w:szCs w:val="24"/>
        </w:rPr>
        <w:t xml:space="preserve"> nell’art. 42, co. 4, del decreto legislativo 30 marzo 2001, n. 165, per i dipendenti pubblici: </w:t>
      </w:r>
      <w:r w:rsidR="00924EDF" w:rsidRPr="00484DC0">
        <w:rPr>
          <w:rFonts w:ascii="Times New Roman" w:hAnsi="Times New Roman" w:cs="Times New Roman"/>
          <w:b/>
          <w:sz w:val="24"/>
          <w:szCs w:val="24"/>
        </w:rPr>
        <w:t>“</w:t>
      </w:r>
      <w:r w:rsidR="00924EDF" w:rsidRPr="00484DC0">
        <w:rPr>
          <w:rStyle w:val="arttextincomma"/>
          <w:rFonts w:ascii="Times New Roman" w:hAnsi="Times New Roman" w:cs="Times New Roman"/>
          <w:b/>
          <w:sz w:val="24"/>
          <w:szCs w:val="24"/>
        </w:rPr>
        <w:t>prevedendo in ogni caso il voto segreto, il metodo proporzionale e il periodico rinnovo, con esclusione della prorogabilità”</w:t>
      </w:r>
      <w:r w:rsidR="00924EDF" w:rsidRPr="00924EDF">
        <w:rPr>
          <w:rStyle w:val="arttextincomma"/>
          <w:rFonts w:ascii="Times New Roman" w:hAnsi="Times New Roman" w:cs="Times New Roman"/>
          <w:sz w:val="24"/>
          <w:szCs w:val="24"/>
        </w:rPr>
        <w:t>.</w:t>
      </w:r>
    </w:p>
    <w:p w:rsidR="00032A42" w:rsidRDefault="00924EDF" w:rsidP="00F52C9E">
      <w:pPr>
        <w:autoSpaceDE w:val="0"/>
        <w:autoSpaceDN w:val="0"/>
        <w:adjustRightInd w:val="0"/>
        <w:spacing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t>Sul</w:t>
      </w:r>
      <w:r w:rsidR="0027240B">
        <w:rPr>
          <w:rFonts w:ascii="Times New Roman" w:hAnsi="Times New Roman" w:cs="Times New Roman"/>
          <w:sz w:val="24"/>
          <w:szCs w:val="24"/>
        </w:rPr>
        <w:t xml:space="preserve"> secondo </w:t>
      </w:r>
      <w:r>
        <w:rPr>
          <w:rFonts w:ascii="Times New Roman" w:hAnsi="Times New Roman" w:cs="Times New Roman"/>
          <w:sz w:val="24"/>
          <w:szCs w:val="24"/>
        </w:rPr>
        <w:t>precetto legislativo contenuto nello schema del decreto, nel quale il legislatore delegato si è discostato maggiormente – ma legittimamente, data la formulazione della Direttiva con il rinvio al diritto e alle prassi nazionali – dalla lettera della Direttiva stessa, si può ritenere che la formulazione non abbia la precisione che, ai fini della prevenzione del contenzioso, sarebbe auspicabile. È ben noto che in Italia non esista per il settore privato una disciplina di fonte legale che offra criteri di misurazione della rappresentatività sindacale, neppure ai fini dell’applicazione della formula della maggiore rappr</w:t>
      </w:r>
      <w:r w:rsidR="00032A42">
        <w:rPr>
          <w:rFonts w:ascii="Times New Roman" w:hAnsi="Times New Roman" w:cs="Times New Roman"/>
          <w:sz w:val="24"/>
          <w:szCs w:val="24"/>
        </w:rPr>
        <w:t>e</w:t>
      </w:r>
      <w:r>
        <w:rPr>
          <w:rFonts w:ascii="Times New Roman" w:hAnsi="Times New Roman" w:cs="Times New Roman"/>
          <w:sz w:val="24"/>
          <w:szCs w:val="24"/>
        </w:rPr>
        <w:t>sentatività compar</w:t>
      </w:r>
      <w:r w:rsidR="00062EF8">
        <w:rPr>
          <w:rFonts w:ascii="Times New Roman" w:hAnsi="Times New Roman" w:cs="Times New Roman"/>
          <w:sz w:val="24"/>
          <w:szCs w:val="24"/>
        </w:rPr>
        <w:t>a</w:t>
      </w:r>
      <w:r>
        <w:rPr>
          <w:rFonts w:ascii="Times New Roman" w:hAnsi="Times New Roman" w:cs="Times New Roman"/>
          <w:sz w:val="24"/>
          <w:szCs w:val="24"/>
        </w:rPr>
        <w:t>ta, il c</w:t>
      </w:r>
      <w:r w:rsidR="00032A42">
        <w:rPr>
          <w:rFonts w:ascii="Times New Roman" w:hAnsi="Times New Roman" w:cs="Times New Roman"/>
          <w:sz w:val="24"/>
          <w:szCs w:val="24"/>
        </w:rPr>
        <w:t>he ha dato vita a una supplenza giurisp</w:t>
      </w:r>
      <w:r>
        <w:rPr>
          <w:rFonts w:ascii="Times New Roman" w:hAnsi="Times New Roman" w:cs="Times New Roman"/>
          <w:sz w:val="24"/>
          <w:szCs w:val="24"/>
        </w:rPr>
        <w:t xml:space="preserve">rudenziale con </w:t>
      </w:r>
      <w:r w:rsidR="00032A42">
        <w:rPr>
          <w:rFonts w:ascii="Times New Roman" w:hAnsi="Times New Roman" w:cs="Times New Roman"/>
          <w:sz w:val="24"/>
          <w:szCs w:val="24"/>
        </w:rPr>
        <w:t>risultati</w:t>
      </w:r>
      <w:r>
        <w:rPr>
          <w:rFonts w:ascii="Times New Roman" w:hAnsi="Times New Roman" w:cs="Times New Roman"/>
          <w:sz w:val="24"/>
          <w:szCs w:val="24"/>
        </w:rPr>
        <w:t xml:space="preserve"> non uniformi</w:t>
      </w:r>
      <w:r w:rsidR="00032A42">
        <w:rPr>
          <w:rFonts w:ascii="Times New Roman" w:hAnsi="Times New Roman" w:cs="Times New Roman"/>
          <w:sz w:val="24"/>
          <w:szCs w:val="24"/>
        </w:rPr>
        <w:t xml:space="preserve">. </w:t>
      </w:r>
    </w:p>
    <w:p w:rsidR="0027240B" w:rsidRDefault="00032A42" w:rsidP="00F52C9E">
      <w:pPr>
        <w:autoSpaceDE w:val="0"/>
        <w:autoSpaceDN w:val="0"/>
        <w:adjustRightInd w:val="0"/>
        <w:spacing w:after="0" w:line="276" w:lineRule="auto"/>
        <w:ind w:firstLine="360"/>
        <w:jc w:val="both"/>
        <w:rPr>
          <w:rStyle w:val="arttextincomma"/>
          <w:rFonts w:ascii="Times New Roman" w:hAnsi="Times New Roman" w:cs="Times New Roman"/>
          <w:sz w:val="24"/>
          <w:szCs w:val="24"/>
        </w:rPr>
      </w:pPr>
      <w:r w:rsidRPr="00057B1E">
        <w:rPr>
          <w:rFonts w:ascii="Times New Roman" w:hAnsi="Times New Roman" w:cs="Times New Roman"/>
          <w:sz w:val="24"/>
          <w:szCs w:val="24"/>
        </w:rPr>
        <w:t xml:space="preserve">Proprio con riferimento a lavoratori delle piattaforme digitali, se ne è avuto un esempio importante </w:t>
      </w:r>
      <w:r w:rsidR="003F19B0" w:rsidRPr="00057B1E">
        <w:rPr>
          <w:rFonts w:ascii="Times New Roman" w:hAnsi="Times New Roman" w:cs="Times New Roman"/>
          <w:sz w:val="24"/>
          <w:szCs w:val="24"/>
        </w:rPr>
        <w:t xml:space="preserve">nell’ampia discussione che si è svolta in dottrina sul contratto collettivo stipulato per i ciclofattorini (o </w:t>
      </w:r>
      <w:r w:rsidR="003F19B0" w:rsidRPr="00057B1E">
        <w:rPr>
          <w:rFonts w:ascii="Times New Roman" w:hAnsi="Times New Roman" w:cs="Times New Roman"/>
          <w:i/>
          <w:sz w:val="24"/>
          <w:szCs w:val="24"/>
        </w:rPr>
        <w:t xml:space="preserve">rider </w:t>
      </w:r>
      <w:r w:rsidR="003F19B0" w:rsidRPr="00057B1E">
        <w:rPr>
          <w:rFonts w:ascii="Times New Roman" w:hAnsi="Times New Roman" w:cs="Times New Roman"/>
          <w:sz w:val="24"/>
          <w:szCs w:val="24"/>
        </w:rPr>
        <w:t>che dir si voglia) che lavorano con le piattaforme digitali tra</w:t>
      </w:r>
      <w:r w:rsidR="0027240B" w:rsidRPr="00057B1E">
        <w:rPr>
          <w:rFonts w:ascii="Times New Roman" w:hAnsi="Times New Roman" w:cs="Times New Roman"/>
          <w:sz w:val="24"/>
          <w:szCs w:val="24"/>
        </w:rPr>
        <w:t xml:space="preserve"> Assod</w:t>
      </w:r>
      <w:r w:rsidR="003F19B0" w:rsidRPr="00057B1E">
        <w:rPr>
          <w:rFonts w:ascii="Times New Roman" w:hAnsi="Times New Roman" w:cs="Times New Roman"/>
          <w:sz w:val="24"/>
          <w:szCs w:val="24"/>
        </w:rPr>
        <w:t>el</w:t>
      </w:r>
      <w:r w:rsidR="0027240B" w:rsidRPr="00057B1E">
        <w:rPr>
          <w:rFonts w:ascii="Times New Roman" w:hAnsi="Times New Roman" w:cs="Times New Roman"/>
          <w:sz w:val="24"/>
          <w:szCs w:val="24"/>
        </w:rPr>
        <w:t xml:space="preserve">ivery </w:t>
      </w:r>
      <w:r w:rsidR="003F19B0" w:rsidRPr="00057B1E">
        <w:rPr>
          <w:rFonts w:ascii="Times New Roman" w:hAnsi="Times New Roman" w:cs="Times New Roman"/>
          <w:sz w:val="24"/>
          <w:szCs w:val="24"/>
        </w:rPr>
        <w:t xml:space="preserve">e </w:t>
      </w:r>
      <w:r w:rsidR="0027240B" w:rsidRPr="00057B1E">
        <w:rPr>
          <w:rFonts w:ascii="Times New Roman" w:hAnsi="Times New Roman" w:cs="Times New Roman"/>
          <w:sz w:val="24"/>
          <w:szCs w:val="24"/>
        </w:rPr>
        <w:t>UGL</w:t>
      </w:r>
      <w:r w:rsidR="003F19B0" w:rsidRPr="00057B1E">
        <w:rPr>
          <w:rFonts w:ascii="Times New Roman" w:hAnsi="Times New Roman" w:cs="Times New Roman"/>
          <w:sz w:val="24"/>
          <w:szCs w:val="24"/>
        </w:rPr>
        <w:t xml:space="preserve"> in data </w:t>
      </w:r>
      <w:r w:rsidR="00057B1E">
        <w:rPr>
          <w:rFonts w:ascii="Times New Roman" w:hAnsi="Times New Roman" w:cs="Times New Roman"/>
          <w:sz w:val="24"/>
          <w:szCs w:val="24"/>
        </w:rPr>
        <w:t>15 settembre 2020</w:t>
      </w:r>
      <w:r w:rsidR="003F19B0" w:rsidRPr="00057B1E">
        <w:rPr>
          <w:rFonts w:ascii="Times New Roman" w:hAnsi="Times New Roman" w:cs="Times New Roman"/>
          <w:sz w:val="24"/>
          <w:szCs w:val="24"/>
        </w:rPr>
        <w:t>, a cui è seguito un importante contenzioso che ha visto almeno – a mia conoscenza – una decina di pronunce tra primo grado e appello in varie località d’Italia, oltre a prese di posizioni del Ministero del Lavoro</w:t>
      </w:r>
      <w:r w:rsidR="00C10DE9">
        <w:rPr>
          <w:rFonts w:ascii="Times New Roman" w:hAnsi="Times New Roman" w:cs="Times New Roman"/>
          <w:sz w:val="24"/>
          <w:szCs w:val="24"/>
        </w:rPr>
        <w:t>, nel senso dell’illegittimità della stipulazione</w:t>
      </w:r>
      <w:r w:rsidR="003F19B0" w:rsidRPr="00057B1E">
        <w:rPr>
          <w:rFonts w:ascii="Times New Roman" w:hAnsi="Times New Roman" w:cs="Times New Roman"/>
          <w:sz w:val="24"/>
          <w:szCs w:val="24"/>
        </w:rPr>
        <w:t xml:space="preserve">. Non è questa la sede per rievocare la vicenda, se non per rammentare che </w:t>
      </w:r>
      <w:r w:rsidR="00057B1E" w:rsidRPr="00057B1E">
        <w:rPr>
          <w:rFonts w:ascii="Times New Roman" w:hAnsi="Times New Roman" w:cs="Times New Roman"/>
          <w:sz w:val="24"/>
          <w:szCs w:val="24"/>
        </w:rPr>
        <w:t>in questione è venuta proprio la questione della legittimazione degli stipulanti ai sensi dell’art. 47-quater, co. 1, del decreto legislativo 15 giugno 2015, n. 81, il quale prevede che “i</w:t>
      </w:r>
      <w:r w:rsidR="00057B1E" w:rsidRPr="00057B1E">
        <w:rPr>
          <w:rStyle w:val="arttextincomma"/>
          <w:rFonts w:ascii="Times New Roman" w:hAnsi="Times New Roman" w:cs="Times New Roman"/>
          <w:sz w:val="24"/>
          <w:szCs w:val="24"/>
        </w:rPr>
        <w:t xml:space="preserve"> contratti collettivi stipulati dalle organizzazioni sindacali e datoriali comparativamente più rappresentative a livello nazionale possono definire criteri di determinazione del compenso complessivo che tengano conto delle modalità di svolgimento della prestazione e dell</w:t>
      </w:r>
      <w:r w:rsidR="00057B1E">
        <w:rPr>
          <w:rStyle w:val="arttextincomma"/>
          <w:rFonts w:ascii="Times New Roman" w:hAnsi="Times New Roman" w:cs="Times New Roman"/>
          <w:sz w:val="24"/>
          <w:szCs w:val="24"/>
        </w:rPr>
        <w:t xml:space="preserve">'organizzazione del committente”: dizione che, per quanto riguarda la legittimazione a stipulare è come si vede assai simile a quella usata nello schema del decreto. </w:t>
      </w:r>
    </w:p>
    <w:p w:rsidR="00C10DE9" w:rsidRDefault="00C10DE9" w:rsidP="00F52C9E">
      <w:pPr>
        <w:autoSpaceDE w:val="0"/>
        <w:autoSpaceDN w:val="0"/>
        <w:adjustRightInd w:val="0"/>
        <w:spacing w:after="0" w:line="276" w:lineRule="auto"/>
        <w:ind w:firstLine="360"/>
        <w:jc w:val="both"/>
        <w:rPr>
          <w:rStyle w:val="arttextincomma"/>
          <w:rFonts w:ascii="Times New Roman" w:hAnsi="Times New Roman" w:cs="Times New Roman"/>
          <w:sz w:val="24"/>
          <w:szCs w:val="24"/>
        </w:rPr>
      </w:pPr>
      <w:r>
        <w:rPr>
          <w:rStyle w:val="arttextincomma"/>
          <w:rFonts w:ascii="Times New Roman" w:hAnsi="Times New Roman" w:cs="Times New Roman"/>
          <w:sz w:val="24"/>
          <w:szCs w:val="24"/>
        </w:rPr>
        <w:t xml:space="preserve">Dunque, se il Parlamento intende evitare di incrementare il contenzioso e l’incertezza per le imprese e per chi lavora, meglio sarebbe correggere la formulazione contenuta nel decreto. </w:t>
      </w:r>
    </w:p>
    <w:p w:rsidR="00C10DE9" w:rsidRDefault="00C10DE9" w:rsidP="00F52C9E">
      <w:pPr>
        <w:autoSpaceDE w:val="0"/>
        <w:autoSpaceDN w:val="0"/>
        <w:adjustRightInd w:val="0"/>
        <w:spacing w:after="0" w:line="276" w:lineRule="auto"/>
        <w:ind w:firstLine="360"/>
        <w:jc w:val="both"/>
        <w:rPr>
          <w:rStyle w:val="arttextincomma"/>
          <w:rFonts w:ascii="Times New Roman" w:hAnsi="Times New Roman" w:cs="Times New Roman"/>
          <w:sz w:val="24"/>
          <w:szCs w:val="24"/>
        </w:rPr>
      </w:pPr>
      <w:r>
        <w:rPr>
          <w:rStyle w:val="arttextincomma"/>
          <w:rFonts w:ascii="Times New Roman" w:hAnsi="Times New Roman" w:cs="Times New Roman"/>
          <w:sz w:val="24"/>
          <w:szCs w:val="24"/>
        </w:rPr>
        <w:t xml:space="preserve">Si deve tener presente infatti che i parametri </w:t>
      </w:r>
      <w:r w:rsidR="00B65787">
        <w:rPr>
          <w:rStyle w:val="arttextincomma"/>
          <w:rFonts w:ascii="Times New Roman" w:hAnsi="Times New Roman" w:cs="Times New Roman"/>
          <w:sz w:val="24"/>
          <w:szCs w:val="24"/>
        </w:rPr>
        <w:t xml:space="preserve">generalmente </w:t>
      </w:r>
      <w:r>
        <w:rPr>
          <w:rStyle w:val="arttextincomma"/>
          <w:rFonts w:ascii="Times New Roman" w:hAnsi="Times New Roman" w:cs="Times New Roman"/>
          <w:sz w:val="24"/>
          <w:szCs w:val="24"/>
        </w:rPr>
        <w:t>adoperati dalla giurisprudenza per valutare la maggiore rappresentatività comparata delle organizzazioni sindacali</w:t>
      </w:r>
      <w:r w:rsidR="00AF1833">
        <w:rPr>
          <w:rStyle w:val="arttextincomma"/>
          <w:rFonts w:ascii="Times New Roman" w:hAnsi="Times New Roman" w:cs="Times New Roman"/>
          <w:sz w:val="24"/>
          <w:szCs w:val="24"/>
        </w:rPr>
        <w:t xml:space="preserve"> sono </w:t>
      </w:r>
      <w:r w:rsidR="00B65787">
        <w:rPr>
          <w:rStyle w:val="arttextincomma"/>
          <w:rFonts w:ascii="Times New Roman" w:hAnsi="Times New Roman" w:cs="Times New Roman"/>
          <w:sz w:val="24"/>
          <w:szCs w:val="24"/>
        </w:rPr>
        <w:t xml:space="preserve">il numero degli iscritti (scarso e anche difficilmente conoscibile per il lavoro con le piattaforme digitali, in cui sono diffusi problemi di qualificazione del rapporto come subordinato o autonomo), la diffusione territoriale, la partecipazione alle trattative contrattuali (che però nel lavoro con le piattaforme digitali, emerse da pochi anni, è estremamente rara), l’assistenza svolta nelle controversie individuali (anche </w:t>
      </w:r>
      <w:r w:rsidR="00062EF8">
        <w:rPr>
          <w:rStyle w:val="arttextincomma"/>
          <w:rFonts w:ascii="Times New Roman" w:hAnsi="Times New Roman" w:cs="Times New Roman"/>
          <w:sz w:val="24"/>
          <w:szCs w:val="24"/>
        </w:rPr>
        <w:t>q</w:t>
      </w:r>
      <w:r w:rsidR="00B65787">
        <w:rPr>
          <w:rStyle w:val="arttextincomma"/>
          <w:rFonts w:ascii="Times New Roman" w:hAnsi="Times New Roman" w:cs="Times New Roman"/>
          <w:sz w:val="24"/>
          <w:szCs w:val="24"/>
        </w:rPr>
        <w:t xml:space="preserve">ui piuttosto rare): insomma, in un campo abbastanza nuovo, dove la consistenza sindacale è scarsa e la stessa negoziazione collettiva rara, il rischio è che questo secondo precetto ponga problemi applicativi gravi. </w:t>
      </w:r>
    </w:p>
    <w:p w:rsidR="00B65787" w:rsidRDefault="00B65787" w:rsidP="00F52C9E">
      <w:pPr>
        <w:autoSpaceDE w:val="0"/>
        <w:autoSpaceDN w:val="0"/>
        <w:adjustRightInd w:val="0"/>
        <w:spacing w:after="0" w:line="276" w:lineRule="auto"/>
        <w:ind w:firstLine="360"/>
        <w:jc w:val="both"/>
        <w:rPr>
          <w:rStyle w:val="arttextincomma"/>
          <w:rFonts w:ascii="Times New Roman" w:hAnsi="Times New Roman" w:cs="Times New Roman"/>
          <w:sz w:val="24"/>
          <w:szCs w:val="24"/>
        </w:rPr>
      </w:pPr>
      <w:r>
        <w:rPr>
          <w:rStyle w:val="arttextincomma"/>
          <w:rFonts w:ascii="Times New Roman" w:hAnsi="Times New Roman" w:cs="Times New Roman"/>
          <w:sz w:val="24"/>
          <w:szCs w:val="24"/>
        </w:rPr>
        <w:t xml:space="preserve">Bene sarebbe, a mio giudizio, </w:t>
      </w:r>
      <w:r w:rsidRPr="00F52C9E">
        <w:rPr>
          <w:rStyle w:val="arttextincomma"/>
          <w:rFonts w:ascii="Times New Roman" w:hAnsi="Times New Roman" w:cs="Times New Roman"/>
          <w:i/>
          <w:sz w:val="24"/>
          <w:szCs w:val="24"/>
        </w:rPr>
        <w:t>riformulare la previsione dello schema di decreto</w:t>
      </w:r>
      <w:r>
        <w:rPr>
          <w:rStyle w:val="arttextincomma"/>
          <w:rFonts w:ascii="Times New Roman" w:hAnsi="Times New Roman" w:cs="Times New Roman"/>
          <w:sz w:val="24"/>
          <w:szCs w:val="24"/>
        </w:rPr>
        <w:t>, definendo “rappresentanti dei lavoratori”, oltre a quelli “liberamente eletti” di cui si è già parlato, “</w:t>
      </w:r>
      <w:r w:rsidRPr="00484DC0">
        <w:rPr>
          <w:rStyle w:val="arttextincomma"/>
          <w:rFonts w:ascii="Times New Roman" w:hAnsi="Times New Roman" w:cs="Times New Roman"/>
          <w:b/>
          <w:sz w:val="24"/>
          <w:szCs w:val="24"/>
        </w:rPr>
        <w:t xml:space="preserve">le organizzazioni sindacali dei lavoratori </w:t>
      </w:r>
      <w:r w:rsidRPr="00484DC0">
        <w:rPr>
          <w:rStyle w:val="arttextincomma"/>
          <w:rFonts w:ascii="Times New Roman" w:hAnsi="Times New Roman" w:cs="Times New Roman"/>
          <w:b/>
          <w:i/>
          <w:sz w:val="24"/>
          <w:szCs w:val="24"/>
        </w:rPr>
        <w:t>aderenti alle confederazioni</w:t>
      </w:r>
      <w:r w:rsidRPr="00484DC0">
        <w:rPr>
          <w:rStyle w:val="Rimandonotaapidipagina"/>
          <w:rFonts w:ascii="Times New Roman" w:hAnsi="Times New Roman" w:cs="Times New Roman"/>
          <w:b/>
          <w:sz w:val="24"/>
          <w:szCs w:val="24"/>
        </w:rPr>
        <w:footnoteReference w:id="2"/>
      </w:r>
      <w:r w:rsidRPr="00484DC0">
        <w:rPr>
          <w:rStyle w:val="arttextincomma"/>
          <w:rFonts w:ascii="Times New Roman" w:hAnsi="Times New Roman" w:cs="Times New Roman"/>
          <w:b/>
          <w:sz w:val="24"/>
          <w:szCs w:val="24"/>
        </w:rPr>
        <w:t xml:space="preserve"> comparativamente più rappresentative sul piano nazionale</w:t>
      </w:r>
      <w:r>
        <w:rPr>
          <w:rStyle w:val="arttextincomma"/>
          <w:rFonts w:ascii="Times New Roman" w:hAnsi="Times New Roman" w:cs="Times New Roman"/>
          <w:sz w:val="24"/>
          <w:szCs w:val="24"/>
        </w:rPr>
        <w:t>”</w:t>
      </w:r>
      <w:r w:rsidR="00523317">
        <w:rPr>
          <w:rStyle w:val="arttextincomma"/>
          <w:rFonts w:ascii="Times New Roman" w:hAnsi="Times New Roman" w:cs="Times New Roman"/>
          <w:sz w:val="24"/>
          <w:szCs w:val="24"/>
        </w:rPr>
        <w:t>: il riferimento confederale, ampiamente consolidato,  semplificherebbe moltissimo il lavoro di definizione della maggiore rappresentatività comparata che sarà opera della giurisprudenza.</w:t>
      </w:r>
    </w:p>
    <w:p w:rsidR="00790C71" w:rsidRDefault="00790C71" w:rsidP="00F52C9E">
      <w:pPr>
        <w:autoSpaceDE w:val="0"/>
        <w:autoSpaceDN w:val="0"/>
        <w:adjustRightInd w:val="0"/>
        <w:spacing w:after="0" w:line="276" w:lineRule="auto"/>
        <w:ind w:firstLine="360"/>
        <w:jc w:val="both"/>
        <w:rPr>
          <w:rStyle w:val="arttextincomma"/>
          <w:rFonts w:ascii="Times New Roman" w:hAnsi="Times New Roman" w:cs="Times New Roman"/>
          <w:sz w:val="24"/>
          <w:szCs w:val="24"/>
        </w:rPr>
      </w:pPr>
      <w:r>
        <w:rPr>
          <w:rStyle w:val="arttextincomma"/>
          <w:rFonts w:ascii="Times New Roman" w:hAnsi="Times New Roman" w:cs="Times New Roman"/>
          <w:sz w:val="24"/>
          <w:szCs w:val="24"/>
        </w:rPr>
        <w:t xml:space="preserve">Invece, le lettere </w:t>
      </w:r>
      <w:r w:rsidRPr="00790C71">
        <w:rPr>
          <w:rStyle w:val="arttextincomma"/>
          <w:rFonts w:ascii="Times New Roman" w:hAnsi="Times New Roman" w:cs="Times New Roman"/>
          <w:i/>
          <w:sz w:val="24"/>
          <w:szCs w:val="24"/>
        </w:rPr>
        <w:t>h</w:t>
      </w:r>
      <w:r>
        <w:rPr>
          <w:rStyle w:val="arttextincomma"/>
          <w:rFonts w:ascii="Times New Roman" w:hAnsi="Times New Roman" w:cs="Times New Roman"/>
          <w:i/>
          <w:sz w:val="24"/>
          <w:szCs w:val="24"/>
        </w:rPr>
        <w:t xml:space="preserve">) </w:t>
      </w:r>
      <w:r w:rsidRPr="00790C71">
        <w:rPr>
          <w:rStyle w:val="arttextincomma"/>
          <w:rFonts w:ascii="Times New Roman" w:hAnsi="Times New Roman" w:cs="Times New Roman"/>
          <w:sz w:val="24"/>
          <w:szCs w:val="24"/>
        </w:rPr>
        <w:t xml:space="preserve">e </w:t>
      </w:r>
      <w:r>
        <w:rPr>
          <w:rStyle w:val="arttextincomma"/>
          <w:rFonts w:ascii="Times New Roman" w:hAnsi="Times New Roman" w:cs="Times New Roman"/>
          <w:i/>
          <w:sz w:val="24"/>
          <w:szCs w:val="24"/>
        </w:rPr>
        <w:t>i)</w:t>
      </w:r>
      <w:r>
        <w:rPr>
          <w:rStyle w:val="arttextincomma"/>
          <w:rFonts w:ascii="Times New Roman" w:hAnsi="Times New Roman" w:cs="Times New Roman"/>
          <w:sz w:val="24"/>
          <w:szCs w:val="24"/>
        </w:rPr>
        <w:t xml:space="preserve"> sono quasi letteralmente conformi alle relative previsioni della Direttiva, e non mi pare offrano criticità. Si deve ricordare che la </w:t>
      </w:r>
      <w:r w:rsidRPr="00BE679D">
        <w:rPr>
          <w:rStyle w:val="arttextincomma"/>
          <w:rFonts w:ascii="Times New Roman" w:hAnsi="Times New Roman" w:cs="Times New Roman"/>
          <w:i/>
          <w:sz w:val="24"/>
          <w:szCs w:val="24"/>
        </w:rPr>
        <w:t>Relazione illustrativa</w:t>
      </w:r>
      <w:r>
        <w:rPr>
          <w:rStyle w:val="arttextincomma"/>
          <w:rFonts w:ascii="Times New Roman" w:hAnsi="Times New Roman" w:cs="Times New Roman"/>
          <w:sz w:val="24"/>
          <w:szCs w:val="24"/>
        </w:rPr>
        <w:t xml:space="preserve"> allo schema ha dedicato poche righe puramente descrittive al contenuto dell’art. 3, co. 1, trascurando completamente i profili critici qui segnalati.</w:t>
      </w:r>
    </w:p>
    <w:p w:rsidR="00790C71" w:rsidRDefault="00790C71" w:rsidP="00F52C9E">
      <w:pPr>
        <w:autoSpaceDE w:val="0"/>
        <w:autoSpaceDN w:val="0"/>
        <w:adjustRightInd w:val="0"/>
        <w:spacing w:after="0" w:line="276" w:lineRule="auto"/>
        <w:ind w:firstLine="360"/>
        <w:jc w:val="both"/>
        <w:rPr>
          <w:rStyle w:val="arttextincomma"/>
          <w:rFonts w:ascii="Times New Roman" w:hAnsi="Times New Roman" w:cs="Times New Roman"/>
          <w:sz w:val="24"/>
          <w:szCs w:val="24"/>
        </w:rPr>
      </w:pPr>
      <w:r>
        <w:rPr>
          <w:rStyle w:val="arttextincomma"/>
          <w:rFonts w:ascii="Times New Roman" w:hAnsi="Times New Roman" w:cs="Times New Roman"/>
          <w:sz w:val="24"/>
          <w:szCs w:val="24"/>
        </w:rPr>
        <w:t xml:space="preserve">Molto più spazio è stato ivi dedicato all’art. 3, co. 2, che contiene una elencazione di casi nei quali – non organizzando le piattaforme </w:t>
      </w:r>
      <w:r w:rsidR="00423296">
        <w:rPr>
          <w:rStyle w:val="arttextincomma"/>
          <w:rFonts w:ascii="Times New Roman" w:hAnsi="Times New Roman" w:cs="Times New Roman"/>
          <w:sz w:val="24"/>
          <w:szCs w:val="24"/>
        </w:rPr>
        <w:t xml:space="preserve">il lavoro altrui (“senza organizzare il lavoro svolto dagli individui”, dice lo schema: torna la centralità dell’etero-organizzazione) – non si rientra nella definizione di piattaforma di lavoro digitale, e dunque non si applicano le previsioni contenute nello schema stesso. La Relazione fa l’esempio delle centrali di radio taxi. </w:t>
      </w:r>
    </w:p>
    <w:p w:rsidR="00423296" w:rsidRDefault="00423296" w:rsidP="00F52C9E">
      <w:pPr>
        <w:autoSpaceDE w:val="0"/>
        <w:autoSpaceDN w:val="0"/>
        <w:adjustRightInd w:val="0"/>
        <w:spacing w:after="0" w:line="276" w:lineRule="auto"/>
        <w:ind w:firstLine="360"/>
        <w:jc w:val="both"/>
        <w:rPr>
          <w:rFonts w:ascii="Times New Roman" w:hAnsi="Times New Roman" w:cs="Times New Roman"/>
          <w:sz w:val="24"/>
          <w:szCs w:val="24"/>
        </w:rPr>
      </w:pPr>
      <w:r w:rsidRPr="00423296">
        <w:rPr>
          <w:rStyle w:val="arttextincomma"/>
          <w:rFonts w:ascii="Times New Roman" w:hAnsi="Times New Roman" w:cs="Times New Roman"/>
          <w:sz w:val="24"/>
          <w:szCs w:val="24"/>
        </w:rPr>
        <w:t>Orbene, la Direttiva, all’art. 2, par. 2, indica che “</w:t>
      </w:r>
      <w:r w:rsidRPr="00423296">
        <w:rPr>
          <w:rFonts w:ascii="Times New Roman" w:hAnsi="Times New Roman" w:cs="Times New Roman"/>
          <w:sz w:val="24"/>
          <w:szCs w:val="24"/>
        </w:rPr>
        <w:t>la definizione di «piattaforma di lavoro digitale» stabilita al paragrafo 1, lettera a), non comprende i prestatori di un servizio il cui scopo principale è lo sfruttamento o la condivisione di beni o che consente la rivendita di beni da parte di individui che non sono professionisti</w:t>
      </w:r>
      <w:r>
        <w:rPr>
          <w:rFonts w:ascii="Times New Roman" w:hAnsi="Times New Roman" w:cs="Times New Roman"/>
          <w:sz w:val="24"/>
          <w:szCs w:val="24"/>
        </w:rPr>
        <w:t>”</w:t>
      </w:r>
      <w:r w:rsidRPr="00423296">
        <w:rPr>
          <w:rFonts w:ascii="Times New Roman" w:hAnsi="Times New Roman" w:cs="Times New Roman"/>
          <w:sz w:val="24"/>
          <w:szCs w:val="24"/>
        </w:rPr>
        <w:t>.</w:t>
      </w:r>
      <w:r>
        <w:rPr>
          <w:rFonts w:ascii="Times New Roman" w:hAnsi="Times New Roman" w:cs="Times New Roman"/>
          <w:sz w:val="24"/>
          <w:szCs w:val="24"/>
        </w:rPr>
        <w:t xml:space="preserve"> </w:t>
      </w:r>
    </w:p>
    <w:p w:rsidR="00DF05BC" w:rsidRDefault="00423296" w:rsidP="00F52C9E">
      <w:pPr>
        <w:autoSpaceDE w:val="0"/>
        <w:autoSpaceDN w:val="0"/>
        <w:adjustRightInd w:val="0"/>
        <w:spacing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Dunque, le lettere </w:t>
      </w:r>
      <w:r w:rsidRPr="00423296">
        <w:rPr>
          <w:rFonts w:ascii="Times New Roman" w:hAnsi="Times New Roman" w:cs="Times New Roman"/>
          <w:i/>
          <w:sz w:val="24"/>
          <w:szCs w:val="24"/>
        </w:rPr>
        <w:t>a)</w:t>
      </w:r>
      <w:r>
        <w:rPr>
          <w:rFonts w:ascii="Times New Roman" w:hAnsi="Times New Roman" w:cs="Times New Roman"/>
          <w:sz w:val="24"/>
          <w:szCs w:val="24"/>
        </w:rPr>
        <w:t xml:space="preserve"> e </w:t>
      </w:r>
      <w:r w:rsidRPr="00423296">
        <w:rPr>
          <w:rFonts w:ascii="Times New Roman" w:hAnsi="Times New Roman" w:cs="Times New Roman"/>
          <w:i/>
          <w:sz w:val="24"/>
          <w:szCs w:val="24"/>
        </w:rPr>
        <w:t>b)</w:t>
      </w:r>
      <w:r>
        <w:rPr>
          <w:rFonts w:ascii="Times New Roman" w:hAnsi="Times New Roman" w:cs="Times New Roman"/>
          <w:sz w:val="24"/>
          <w:szCs w:val="24"/>
        </w:rPr>
        <w:t xml:space="preserve"> dell’art. 3, co. 2, dello schema riprendono il contenuto della Direttiva e possono essere condivise. Viceversa, estranee alle previsioni della Direttiva sono le lett. </w:t>
      </w:r>
      <w:r w:rsidRPr="00423296">
        <w:rPr>
          <w:rFonts w:ascii="Times New Roman" w:hAnsi="Times New Roman" w:cs="Times New Roman"/>
          <w:i/>
          <w:sz w:val="24"/>
          <w:szCs w:val="24"/>
        </w:rPr>
        <w:t>c)</w:t>
      </w:r>
      <w:r>
        <w:rPr>
          <w:rFonts w:ascii="Times New Roman" w:hAnsi="Times New Roman" w:cs="Times New Roman"/>
          <w:sz w:val="24"/>
          <w:szCs w:val="24"/>
        </w:rPr>
        <w:t xml:space="preserve"> e </w:t>
      </w:r>
      <w:r w:rsidRPr="00423296">
        <w:rPr>
          <w:rFonts w:ascii="Times New Roman" w:hAnsi="Times New Roman" w:cs="Times New Roman"/>
          <w:i/>
          <w:sz w:val="24"/>
          <w:szCs w:val="24"/>
        </w:rPr>
        <w:t>d)</w:t>
      </w:r>
      <w:r w:rsidR="00DF05BC">
        <w:rPr>
          <w:rFonts w:ascii="Times New Roman" w:hAnsi="Times New Roman" w:cs="Times New Roman"/>
          <w:sz w:val="24"/>
          <w:szCs w:val="24"/>
        </w:rPr>
        <w:t>.</w:t>
      </w:r>
    </w:p>
    <w:p w:rsidR="00DF05BC" w:rsidRDefault="00DF05BC" w:rsidP="00F52C9E">
      <w:pPr>
        <w:autoSpaceDE w:val="0"/>
        <w:autoSpaceDN w:val="0"/>
        <w:adjustRightInd w:val="0"/>
        <w:spacing w:after="0" w:line="276" w:lineRule="auto"/>
        <w:ind w:firstLine="360"/>
        <w:jc w:val="both"/>
        <w:rPr>
          <w:rStyle w:val="arttextincomma"/>
          <w:rFonts w:ascii="Times New Roman" w:hAnsi="Times New Roman" w:cs="Times New Roman"/>
          <w:sz w:val="24"/>
          <w:szCs w:val="24"/>
        </w:rPr>
      </w:pPr>
      <w:r>
        <w:rPr>
          <w:rFonts w:ascii="Times New Roman" w:hAnsi="Times New Roman" w:cs="Times New Roman"/>
          <w:sz w:val="24"/>
          <w:szCs w:val="24"/>
        </w:rPr>
        <w:t xml:space="preserve">La </w:t>
      </w:r>
      <w:r w:rsidRPr="00423296">
        <w:rPr>
          <w:rFonts w:ascii="Times New Roman" w:hAnsi="Times New Roman" w:cs="Times New Roman"/>
          <w:i/>
          <w:sz w:val="24"/>
          <w:szCs w:val="24"/>
        </w:rPr>
        <w:t>lett. c)</w:t>
      </w:r>
      <w:r>
        <w:rPr>
          <w:rFonts w:ascii="Times New Roman" w:hAnsi="Times New Roman" w:cs="Times New Roman"/>
          <w:sz w:val="24"/>
          <w:szCs w:val="24"/>
        </w:rPr>
        <w:t xml:space="preserve"> esclude “i prestatori di servizio che organizzano le attività di volontariato”: ma qui occorre osservare che le attività di volontariato non sono nell’ordinamento italiano prestazioni di lavoro </w:t>
      </w:r>
      <w:r w:rsidRPr="00DF05BC">
        <w:rPr>
          <w:rFonts w:ascii="Times New Roman" w:hAnsi="Times New Roman" w:cs="Times New Roman"/>
          <w:sz w:val="24"/>
          <w:szCs w:val="24"/>
        </w:rPr>
        <w:t xml:space="preserve">(art. 17, co. 2, del decreto legislativo 3 luglio 2017, n. 117: </w:t>
      </w:r>
      <w:r w:rsidR="00ED0811">
        <w:rPr>
          <w:rFonts w:ascii="Times New Roman" w:hAnsi="Times New Roman" w:cs="Times New Roman"/>
          <w:sz w:val="24"/>
          <w:szCs w:val="24"/>
        </w:rPr>
        <w:t>“i</w:t>
      </w:r>
      <w:r w:rsidRPr="00DF05BC">
        <w:rPr>
          <w:rStyle w:val="arttextincomma"/>
          <w:rFonts w:ascii="Times New Roman" w:hAnsi="Times New Roman" w:cs="Times New Roman"/>
          <w:sz w:val="24"/>
          <w:szCs w:val="24"/>
        </w:rPr>
        <w:t>l volontario è una persona che, per sua libera scelta, svolge attività in favore della comunità e del bene comune, anche per il tramite di un ente del Terzo settore, mettendo a disposizione il proprio tempo e le proprie capacità per promuovere risposte ai bisogni delle persone e delle comunità beneficiarie della sua azione, in modo personale, spontaneo e gratuito, senza fini di lucro, neanche indiretti, ed esclusivamente per fini di solidarietà”).</w:t>
      </w:r>
      <w:r>
        <w:rPr>
          <w:rStyle w:val="arttextincomma"/>
          <w:rFonts w:ascii="Times New Roman" w:hAnsi="Times New Roman" w:cs="Times New Roman"/>
          <w:sz w:val="24"/>
          <w:szCs w:val="24"/>
        </w:rPr>
        <w:t xml:space="preserve"> Poiché sono stati già esaminati dalla giurisprudenza i casi di abuso, con riconduzione dell’attività di falso volontariato alle regole del rapporto di lavoro (</w:t>
      </w:r>
      <w:r w:rsidR="00896D9A">
        <w:rPr>
          <w:rStyle w:val="arttextincomma"/>
          <w:rFonts w:ascii="Times New Roman" w:hAnsi="Times New Roman" w:cs="Times New Roman"/>
          <w:sz w:val="24"/>
          <w:szCs w:val="24"/>
        </w:rPr>
        <w:t xml:space="preserve">per esempio Trib. Foggia, 20 dicembre 2022; Trib. Velletri, 17 febbraio 2022; Trib. Taranto, 6 luglio 2020; Trib. Teramo, 17 ottobre 2018), sarebbe opportuno </w:t>
      </w:r>
      <w:r w:rsidR="00896D9A" w:rsidRPr="00F52C9E">
        <w:rPr>
          <w:rStyle w:val="arttextincomma"/>
          <w:rFonts w:ascii="Times New Roman" w:hAnsi="Times New Roman" w:cs="Times New Roman"/>
          <w:i/>
          <w:sz w:val="24"/>
          <w:szCs w:val="24"/>
        </w:rPr>
        <w:t>eliminare la</w:t>
      </w:r>
      <w:r w:rsidR="00896D9A">
        <w:rPr>
          <w:rStyle w:val="arttextincomma"/>
          <w:rFonts w:ascii="Times New Roman" w:hAnsi="Times New Roman" w:cs="Times New Roman"/>
          <w:sz w:val="24"/>
          <w:szCs w:val="24"/>
        </w:rPr>
        <w:t xml:space="preserve"> </w:t>
      </w:r>
      <w:r w:rsidR="00896D9A" w:rsidRPr="00896D9A">
        <w:rPr>
          <w:rStyle w:val="arttextincomma"/>
          <w:rFonts w:ascii="Times New Roman" w:hAnsi="Times New Roman" w:cs="Times New Roman"/>
          <w:i/>
          <w:sz w:val="24"/>
          <w:szCs w:val="24"/>
        </w:rPr>
        <w:t>lett. c)</w:t>
      </w:r>
      <w:r w:rsidR="00896D9A">
        <w:rPr>
          <w:rStyle w:val="arttextincomma"/>
          <w:rFonts w:ascii="Times New Roman" w:hAnsi="Times New Roman" w:cs="Times New Roman"/>
          <w:sz w:val="24"/>
          <w:szCs w:val="24"/>
        </w:rPr>
        <w:t xml:space="preserve">, rimandando alle </w:t>
      </w:r>
      <w:r w:rsidR="006068E6">
        <w:rPr>
          <w:rStyle w:val="arttextincomma"/>
          <w:rFonts w:ascii="Times New Roman" w:hAnsi="Times New Roman" w:cs="Times New Roman"/>
          <w:sz w:val="24"/>
          <w:szCs w:val="24"/>
        </w:rPr>
        <w:t>sole</w:t>
      </w:r>
      <w:r w:rsidR="00896D9A">
        <w:rPr>
          <w:rStyle w:val="arttextincomma"/>
          <w:rFonts w:ascii="Times New Roman" w:hAnsi="Times New Roman" w:cs="Times New Roman"/>
          <w:sz w:val="24"/>
          <w:szCs w:val="24"/>
        </w:rPr>
        <w:t xml:space="preserve"> eccezioni previste e consentite dalla Direttiva, anziché contribuire a perpetuare l’equivoco che si possa essere volontari e lavorare contemporaneamente.</w:t>
      </w:r>
    </w:p>
    <w:p w:rsidR="00423296" w:rsidRDefault="00896D9A" w:rsidP="00F52C9E">
      <w:pPr>
        <w:autoSpaceDE w:val="0"/>
        <w:autoSpaceDN w:val="0"/>
        <w:adjustRightInd w:val="0"/>
        <w:spacing w:after="0" w:line="276" w:lineRule="auto"/>
        <w:ind w:firstLine="360"/>
        <w:jc w:val="both"/>
        <w:rPr>
          <w:rFonts w:ascii="Times New Roman" w:hAnsi="Times New Roman" w:cs="Times New Roman"/>
          <w:sz w:val="24"/>
          <w:szCs w:val="24"/>
        </w:rPr>
      </w:pPr>
      <w:r w:rsidRPr="00896D9A">
        <w:rPr>
          <w:rStyle w:val="arttextincomma"/>
          <w:rFonts w:ascii="Times New Roman" w:hAnsi="Times New Roman" w:cs="Times New Roman"/>
          <w:sz w:val="24"/>
          <w:szCs w:val="24"/>
        </w:rPr>
        <w:t xml:space="preserve">Quanto alla </w:t>
      </w:r>
      <w:r w:rsidRPr="00896D9A">
        <w:rPr>
          <w:rStyle w:val="arttextincomma"/>
          <w:rFonts w:ascii="Times New Roman" w:hAnsi="Times New Roman" w:cs="Times New Roman"/>
          <w:i/>
          <w:sz w:val="24"/>
          <w:szCs w:val="24"/>
        </w:rPr>
        <w:t>lett. d)</w:t>
      </w:r>
      <w:r w:rsidRPr="00896D9A">
        <w:rPr>
          <w:rStyle w:val="arttextincomma"/>
          <w:rFonts w:ascii="Times New Roman" w:hAnsi="Times New Roman" w:cs="Times New Roman"/>
          <w:sz w:val="24"/>
          <w:szCs w:val="24"/>
        </w:rPr>
        <w:t>, secondo la quale non rientrerebbero nella definizione di piattaforme di lavoro digitale “</w:t>
      </w:r>
      <w:r w:rsidRPr="00896D9A">
        <w:rPr>
          <w:rFonts w:ascii="Times New Roman" w:hAnsi="Times New Roman" w:cs="Times New Roman"/>
          <w:sz w:val="24"/>
          <w:szCs w:val="24"/>
        </w:rPr>
        <w:t>i prestatori di servizi, compresi i servizi di trasporto di persone o merci o i servizi di pulizia, per i</w:t>
      </w:r>
      <w:r>
        <w:rPr>
          <w:rFonts w:ascii="Times New Roman" w:hAnsi="Times New Roman" w:cs="Times New Roman"/>
          <w:sz w:val="24"/>
          <w:szCs w:val="24"/>
        </w:rPr>
        <w:t xml:space="preserve"> </w:t>
      </w:r>
      <w:r w:rsidRPr="00896D9A">
        <w:rPr>
          <w:rFonts w:ascii="Times New Roman" w:hAnsi="Times New Roman" w:cs="Times New Roman"/>
          <w:sz w:val="24"/>
          <w:szCs w:val="24"/>
        </w:rPr>
        <w:t>quali l’organizzazione del lavoro svolto dagli individui costituisce una componente secondaria e</w:t>
      </w:r>
      <w:r>
        <w:rPr>
          <w:rFonts w:ascii="Times New Roman" w:hAnsi="Times New Roman" w:cs="Times New Roman"/>
          <w:sz w:val="24"/>
          <w:szCs w:val="24"/>
        </w:rPr>
        <w:t xml:space="preserve"> </w:t>
      </w:r>
      <w:r w:rsidRPr="00896D9A">
        <w:rPr>
          <w:rFonts w:ascii="Times New Roman" w:hAnsi="Times New Roman" w:cs="Times New Roman"/>
          <w:sz w:val="24"/>
          <w:szCs w:val="24"/>
        </w:rPr>
        <w:t>puramente accessoria</w:t>
      </w:r>
      <w:r>
        <w:rPr>
          <w:rFonts w:ascii="Times New Roman" w:hAnsi="Times New Roman" w:cs="Times New Roman"/>
          <w:sz w:val="24"/>
          <w:szCs w:val="24"/>
        </w:rPr>
        <w:t xml:space="preserve">”, è </w:t>
      </w:r>
      <w:r w:rsidRPr="00896D9A">
        <w:rPr>
          <w:rFonts w:ascii="Times New Roman" w:hAnsi="Times New Roman" w:cs="Times New Roman"/>
          <w:i/>
          <w:sz w:val="24"/>
          <w:szCs w:val="24"/>
        </w:rPr>
        <w:t>ictu oculi</w:t>
      </w:r>
      <w:r>
        <w:rPr>
          <w:rFonts w:ascii="Times New Roman" w:hAnsi="Times New Roman" w:cs="Times New Roman"/>
          <w:sz w:val="24"/>
          <w:szCs w:val="24"/>
        </w:rPr>
        <w:t xml:space="preserve"> evidente che essa </w:t>
      </w:r>
      <w:r w:rsidR="00062EF8">
        <w:rPr>
          <w:rFonts w:ascii="Times New Roman" w:hAnsi="Times New Roman" w:cs="Times New Roman"/>
          <w:sz w:val="24"/>
          <w:szCs w:val="24"/>
        </w:rPr>
        <w:t xml:space="preserve">– mal ripresa dalle parole finali del considerando n. 20 della Direttiva - </w:t>
      </w:r>
      <w:r>
        <w:rPr>
          <w:rFonts w:ascii="Times New Roman" w:hAnsi="Times New Roman" w:cs="Times New Roman"/>
          <w:sz w:val="24"/>
          <w:szCs w:val="24"/>
        </w:rPr>
        <w:t>contraddice il primo periodo dello stesso art. 3, co. 2, che esclude dalla definizione di piattaforma e dunque dall’applicazione delle previsioni dello schema chi non organizzi il lavoro altrui</w:t>
      </w:r>
      <w:r w:rsidRPr="00896D9A">
        <w:rPr>
          <w:rFonts w:ascii="Times New Roman" w:hAnsi="Times New Roman" w:cs="Times New Roman"/>
          <w:sz w:val="24"/>
          <w:szCs w:val="24"/>
        </w:rPr>
        <w:t>.</w:t>
      </w:r>
      <w:r>
        <w:rPr>
          <w:rFonts w:ascii="Times New Roman" w:hAnsi="Times New Roman" w:cs="Times New Roman"/>
          <w:sz w:val="24"/>
          <w:szCs w:val="24"/>
        </w:rPr>
        <w:t xml:space="preserve"> Nel momento in cui </w:t>
      </w:r>
      <w:r w:rsidR="006068E6">
        <w:rPr>
          <w:rFonts w:ascii="Times New Roman" w:hAnsi="Times New Roman" w:cs="Times New Roman"/>
          <w:sz w:val="24"/>
          <w:szCs w:val="24"/>
        </w:rPr>
        <w:t xml:space="preserve">la </w:t>
      </w:r>
      <w:r w:rsidR="006068E6" w:rsidRPr="006068E6">
        <w:rPr>
          <w:rFonts w:ascii="Times New Roman" w:hAnsi="Times New Roman" w:cs="Times New Roman"/>
          <w:i/>
          <w:sz w:val="24"/>
          <w:szCs w:val="24"/>
        </w:rPr>
        <w:t>lett. d)</w:t>
      </w:r>
      <w:r w:rsidR="006068E6">
        <w:rPr>
          <w:rFonts w:ascii="Times New Roman" w:hAnsi="Times New Roman" w:cs="Times New Roman"/>
          <w:sz w:val="24"/>
          <w:szCs w:val="24"/>
        </w:rPr>
        <w:t xml:space="preserve"> esclude </w:t>
      </w:r>
      <w:r>
        <w:rPr>
          <w:rFonts w:ascii="Times New Roman" w:hAnsi="Times New Roman" w:cs="Times New Roman"/>
          <w:sz w:val="24"/>
          <w:szCs w:val="24"/>
        </w:rPr>
        <w:t xml:space="preserve">chi invece il lavoro altrui lo organizza – benché come </w:t>
      </w:r>
      <w:r w:rsidR="006068E6">
        <w:rPr>
          <w:rFonts w:ascii="Times New Roman" w:hAnsi="Times New Roman" w:cs="Times New Roman"/>
          <w:sz w:val="24"/>
          <w:szCs w:val="24"/>
        </w:rPr>
        <w:t xml:space="preserve">“componente secondaria e puramente accessoria” – introduce </w:t>
      </w:r>
      <w:r w:rsidR="006068E6" w:rsidRPr="00484DC0">
        <w:rPr>
          <w:rFonts w:ascii="Times New Roman" w:hAnsi="Times New Roman" w:cs="Times New Roman"/>
          <w:i/>
          <w:sz w:val="24"/>
          <w:szCs w:val="24"/>
        </w:rPr>
        <w:t>un’eccezione che dal punto di vista giuridico è estranea alla Direttiva</w:t>
      </w:r>
      <w:r w:rsidR="006068E6">
        <w:rPr>
          <w:rFonts w:ascii="Times New Roman" w:hAnsi="Times New Roman" w:cs="Times New Roman"/>
          <w:sz w:val="24"/>
          <w:szCs w:val="24"/>
        </w:rPr>
        <w:t xml:space="preserve">, e dunque di dubbia legittimità; e dal punto di vista pratico sostituisce un fatto – l’organizzazione del lavoro altrui – con una valutazione quantitativa dello stesso fatto – l’importanza dell’organizzazione </w:t>
      </w:r>
      <w:r w:rsidR="00F52C9E">
        <w:rPr>
          <w:rFonts w:ascii="Times New Roman" w:hAnsi="Times New Roman" w:cs="Times New Roman"/>
          <w:sz w:val="24"/>
          <w:szCs w:val="24"/>
        </w:rPr>
        <w:t xml:space="preserve">del lavoro </w:t>
      </w:r>
      <w:r w:rsidR="006068E6">
        <w:rPr>
          <w:rFonts w:ascii="Times New Roman" w:hAnsi="Times New Roman" w:cs="Times New Roman"/>
          <w:sz w:val="24"/>
          <w:szCs w:val="24"/>
        </w:rPr>
        <w:t xml:space="preserve">altrui: il che produrrebbe certamente effetti di incertezza giuridica, e di incremento del contenzioso attorno alla secondarietà o accessorietà dell’organizzazione del lavoro altrui. Pare dunque indispensabile </w:t>
      </w:r>
      <w:r w:rsidR="006068E6" w:rsidRPr="00484DC0">
        <w:rPr>
          <w:rFonts w:ascii="Times New Roman" w:hAnsi="Times New Roman" w:cs="Times New Roman"/>
          <w:b/>
          <w:i/>
          <w:sz w:val="24"/>
          <w:szCs w:val="24"/>
        </w:rPr>
        <w:t>cassare la previsione</w:t>
      </w:r>
      <w:r w:rsidR="006068E6">
        <w:rPr>
          <w:rFonts w:ascii="Times New Roman" w:hAnsi="Times New Roman" w:cs="Times New Roman"/>
          <w:sz w:val="24"/>
          <w:szCs w:val="24"/>
        </w:rPr>
        <w:t>.</w:t>
      </w:r>
    </w:p>
    <w:p w:rsidR="00B76495" w:rsidRDefault="006068E6" w:rsidP="00F52C9E">
      <w:pPr>
        <w:pStyle w:val="Paragrafoelenco"/>
        <w:numPr>
          <w:ilvl w:val="0"/>
          <w:numId w:val="1"/>
        </w:numPr>
        <w:autoSpaceDE w:val="0"/>
        <w:autoSpaceDN w:val="0"/>
        <w:adjustRightInd w:val="0"/>
        <w:spacing w:after="0" w:line="276" w:lineRule="auto"/>
        <w:ind w:left="0" w:firstLine="357"/>
        <w:jc w:val="both"/>
        <w:rPr>
          <w:rFonts w:ascii="Times New Roman" w:hAnsi="Times New Roman" w:cs="Times New Roman"/>
          <w:sz w:val="24"/>
          <w:szCs w:val="24"/>
        </w:rPr>
      </w:pPr>
      <w:r>
        <w:rPr>
          <w:rFonts w:ascii="Times New Roman" w:hAnsi="Times New Roman" w:cs="Times New Roman"/>
          <w:sz w:val="24"/>
          <w:szCs w:val="24"/>
        </w:rPr>
        <w:t>L’</w:t>
      </w:r>
      <w:r w:rsidRPr="006068E6">
        <w:rPr>
          <w:rFonts w:ascii="Times New Roman" w:hAnsi="Times New Roman" w:cs="Times New Roman"/>
          <w:b/>
          <w:sz w:val="24"/>
          <w:szCs w:val="24"/>
        </w:rPr>
        <w:t>art. 4</w:t>
      </w:r>
      <w:r>
        <w:rPr>
          <w:rFonts w:ascii="Times New Roman" w:hAnsi="Times New Roman" w:cs="Times New Roman"/>
          <w:sz w:val="24"/>
          <w:szCs w:val="24"/>
        </w:rPr>
        <w:t xml:space="preserve"> dello schema riprende l’art. 3 della Direttiva in tema di intermediari, che anch’esso faceva rinvio al </w:t>
      </w:r>
      <w:r w:rsidRPr="006068E6">
        <w:rPr>
          <w:rFonts w:ascii="Times New Roman" w:hAnsi="Times New Roman" w:cs="Times New Roman"/>
          <w:sz w:val="24"/>
          <w:szCs w:val="24"/>
        </w:rPr>
        <w:t>“diritto e alle prassi nazionali, per istituire meccanismi adeguati che comprendano, se del caso, sistemi di responsabilità solidale</w:t>
      </w:r>
      <w:r>
        <w:rPr>
          <w:rFonts w:ascii="Times New Roman" w:hAnsi="Times New Roman" w:cs="Times New Roman"/>
          <w:sz w:val="24"/>
          <w:szCs w:val="24"/>
        </w:rPr>
        <w:t xml:space="preserve">”: il che lo schema attua non solo prevedendo l’applicazione delle stesse tutele, ma anche, al co. 2, disponendo altresì l’applicazione </w:t>
      </w:r>
      <w:r w:rsidR="00B76495">
        <w:rPr>
          <w:rFonts w:ascii="Times New Roman" w:hAnsi="Times New Roman" w:cs="Times New Roman"/>
          <w:sz w:val="24"/>
          <w:szCs w:val="24"/>
        </w:rPr>
        <w:t>delle disposizioni in tema di somministrazione e di appalto. Al di là del fatto che anche queste disposizioni meriterebbero una revisione, che evidentemente non rientra nelle intenzioni del legislatore delegato, la recezione della Direttiva in se stessa appare corretta.</w:t>
      </w:r>
    </w:p>
    <w:p w:rsidR="00E666E2" w:rsidRDefault="004A43A3" w:rsidP="00F52C9E">
      <w:pPr>
        <w:pStyle w:val="Paragrafoelenco"/>
        <w:numPr>
          <w:ilvl w:val="0"/>
          <w:numId w:val="1"/>
        </w:numPr>
        <w:autoSpaceDE w:val="0"/>
        <w:autoSpaceDN w:val="0"/>
        <w:adjustRightInd w:val="0"/>
        <w:spacing w:after="0" w:line="276" w:lineRule="auto"/>
        <w:ind w:left="0" w:firstLine="357"/>
        <w:jc w:val="both"/>
        <w:rPr>
          <w:rFonts w:ascii="Times New Roman" w:hAnsi="Times New Roman" w:cs="Times New Roman"/>
          <w:sz w:val="24"/>
          <w:szCs w:val="24"/>
        </w:rPr>
      </w:pPr>
      <w:r w:rsidRPr="004A43A3">
        <w:rPr>
          <w:rFonts w:ascii="Times New Roman" w:hAnsi="Times New Roman" w:cs="Times New Roman"/>
          <w:sz w:val="24"/>
          <w:szCs w:val="24"/>
        </w:rPr>
        <w:t>L’</w:t>
      </w:r>
      <w:r w:rsidRPr="004A43A3">
        <w:rPr>
          <w:rFonts w:ascii="Times New Roman" w:hAnsi="Times New Roman" w:cs="Times New Roman"/>
          <w:b/>
          <w:sz w:val="24"/>
          <w:szCs w:val="24"/>
        </w:rPr>
        <w:t xml:space="preserve">art. 5 </w:t>
      </w:r>
      <w:r w:rsidRPr="004A43A3">
        <w:rPr>
          <w:rFonts w:ascii="Times New Roman" w:hAnsi="Times New Roman" w:cs="Times New Roman"/>
          <w:sz w:val="24"/>
          <w:szCs w:val="24"/>
        </w:rPr>
        <w:t xml:space="preserve">definisce </w:t>
      </w:r>
      <w:r>
        <w:rPr>
          <w:rFonts w:ascii="Times New Roman" w:hAnsi="Times New Roman" w:cs="Times New Roman"/>
          <w:sz w:val="24"/>
          <w:szCs w:val="24"/>
        </w:rPr>
        <w:t>la presunzione legale come strumento di “determinazione della corretta situazione occupazionale”. Si tratta di un tema che fu assai discusso nel procedimento legislativo che ha portato alla Direttiva, e di centrale rilevanza, giacché in tutti i Paesi – non solo quelli componenti dell’Unione Europea – si è sviluppato, parallelamente all’espansione del lavoro con le piattaforme, un vastissimo contenzioso con esiti non sempre uniformi proprio a proposito della corretta qualificazione giudica delle prestazioni delle persone che per le piattaforme lavorano.</w:t>
      </w:r>
    </w:p>
    <w:p w:rsidR="00E666E2" w:rsidRDefault="00E666E2" w:rsidP="00F52C9E">
      <w:pPr>
        <w:pStyle w:val="Default"/>
        <w:spacing w:line="276" w:lineRule="auto"/>
        <w:ind w:firstLine="357"/>
        <w:jc w:val="both"/>
        <w:rPr>
          <w:rFonts w:ascii="Times New Roman" w:hAnsi="Times New Roman" w:cs="Times New Roman"/>
        </w:rPr>
      </w:pPr>
      <w:r w:rsidRPr="00E666E2">
        <w:rPr>
          <w:rFonts w:ascii="Times New Roman" w:hAnsi="Times New Roman" w:cs="Times New Roman"/>
        </w:rPr>
        <w:t>La Direttiva, all’art. 5, par. 1, dispone che “si presume che il rapporto contrattuale tra una piattaforma di lavoro digitale e una persona che svolge un lavoro mediante tale piattaforma costituisca un rapporto di lavoro qualora si riscontrino fatti che indicano direzione e controllo, conformemente al diritto nazionale, ai contratti collettivi o alle prassi in vigore negli Stati membri, tenendo conto della giurisprudenza della Corte di giustizia. Se la piattaforma di lavoro digitale intende confutare la presunzione legale, spetta a tale piattaforma dimostrare che il rapporto contrattuale in questione non è un rapporto di lavoro quale definito dal diritto, dai contratti collettivi o dalle prassi in vigore negli Stati membri, tenendo conto della giurisprudenza della Corte di giustizia</w:t>
      </w:r>
      <w:r>
        <w:rPr>
          <w:rFonts w:ascii="Times New Roman" w:hAnsi="Times New Roman" w:cs="Times New Roman"/>
        </w:rPr>
        <w:t>”</w:t>
      </w:r>
      <w:r w:rsidRPr="00E666E2">
        <w:rPr>
          <w:rFonts w:ascii="Times New Roman" w:hAnsi="Times New Roman" w:cs="Times New Roman"/>
        </w:rPr>
        <w:t>.</w:t>
      </w:r>
    </w:p>
    <w:p w:rsidR="00E666E2" w:rsidRDefault="00E666E2" w:rsidP="00F52C9E">
      <w:pPr>
        <w:autoSpaceDE w:val="0"/>
        <w:autoSpaceDN w:val="0"/>
        <w:adjustRightInd w:val="0"/>
        <w:spacing w:after="0" w:line="276" w:lineRule="auto"/>
        <w:ind w:firstLine="357"/>
        <w:jc w:val="both"/>
        <w:rPr>
          <w:rFonts w:ascii="Times New Roman" w:hAnsi="Times New Roman" w:cs="Times New Roman"/>
          <w:sz w:val="24"/>
          <w:szCs w:val="24"/>
        </w:rPr>
      </w:pPr>
      <w:r w:rsidRPr="00E666E2">
        <w:rPr>
          <w:rFonts w:ascii="Times New Roman" w:hAnsi="Times New Roman" w:cs="Times New Roman"/>
          <w:sz w:val="24"/>
          <w:szCs w:val="24"/>
        </w:rPr>
        <w:t>L’art. 5 dello schema dispone, ai co. 1 e 2, che “</w:t>
      </w:r>
      <w:r>
        <w:rPr>
          <w:rFonts w:ascii="Times New Roman" w:hAnsi="Times New Roman" w:cs="Times New Roman"/>
          <w:sz w:val="24"/>
          <w:szCs w:val="24"/>
        </w:rPr>
        <w:t xml:space="preserve">1. </w:t>
      </w:r>
      <w:r w:rsidRPr="00E666E2">
        <w:rPr>
          <w:rFonts w:ascii="Times New Roman" w:hAnsi="Times New Roman" w:cs="Times New Roman"/>
          <w:sz w:val="24"/>
          <w:szCs w:val="24"/>
        </w:rPr>
        <w:t>Il rapporto di lavoro tra una piattaforma di lavoro digitale e una persona che svolge un lavoro</w:t>
      </w:r>
      <w:r>
        <w:rPr>
          <w:rFonts w:ascii="Times New Roman" w:hAnsi="Times New Roman" w:cs="Times New Roman"/>
          <w:sz w:val="24"/>
          <w:szCs w:val="24"/>
        </w:rPr>
        <w:t xml:space="preserve"> </w:t>
      </w:r>
      <w:r w:rsidRPr="00E666E2">
        <w:rPr>
          <w:rFonts w:ascii="Times New Roman" w:hAnsi="Times New Roman" w:cs="Times New Roman"/>
          <w:sz w:val="24"/>
          <w:szCs w:val="24"/>
        </w:rPr>
        <w:t>mediante tale piattaforma si presume subordinato quando, dai fatti, ivi compreso l'utilizzo di sistemi</w:t>
      </w:r>
      <w:r>
        <w:rPr>
          <w:rFonts w:ascii="Times New Roman" w:hAnsi="Times New Roman" w:cs="Times New Roman"/>
          <w:sz w:val="24"/>
          <w:szCs w:val="24"/>
        </w:rPr>
        <w:t xml:space="preserve"> </w:t>
      </w:r>
      <w:r w:rsidRPr="00E666E2">
        <w:rPr>
          <w:rFonts w:ascii="Times New Roman" w:hAnsi="Times New Roman" w:cs="Times New Roman"/>
          <w:sz w:val="24"/>
          <w:szCs w:val="24"/>
        </w:rPr>
        <w:t>di monitoraggio e decisionali automatizzati, relativi all'effettiva esecuzione ed organizzazione della</w:t>
      </w:r>
      <w:r>
        <w:rPr>
          <w:rFonts w:ascii="Times New Roman" w:hAnsi="Times New Roman" w:cs="Times New Roman"/>
          <w:sz w:val="24"/>
          <w:szCs w:val="24"/>
        </w:rPr>
        <w:t xml:space="preserve"> </w:t>
      </w:r>
      <w:r w:rsidRPr="00E666E2">
        <w:rPr>
          <w:rFonts w:ascii="Times New Roman" w:hAnsi="Times New Roman" w:cs="Times New Roman"/>
          <w:sz w:val="24"/>
          <w:szCs w:val="24"/>
        </w:rPr>
        <w:t>prestazione lavorativa, emergono elementi che indicano direzione e controllo, salvo prova contraria.</w:t>
      </w:r>
      <w:r>
        <w:rPr>
          <w:rFonts w:ascii="Times New Roman" w:hAnsi="Times New Roman" w:cs="Times New Roman"/>
          <w:sz w:val="24"/>
          <w:szCs w:val="24"/>
        </w:rPr>
        <w:t xml:space="preserve"> </w:t>
      </w:r>
      <w:r w:rsidRPr="00E666E2">
        <w:rPr>
          <w:rFonts w:ascii="Times New Roman" w:hAnsi="Times New Roman" w:cs="Times New Roman"/>
          <w:sz w:val="24"/>
          <w:szCs w:val="24"/>
        </w:rPr>
        <w:t>2. Costituiscono elementi di fatto, indicatori della direzione e controllo dell’esecuzione della</w:t>
      </w:r>
      <w:r>
        <w:rPr>
          <w:rFonts w:ascii="Times New Roman" w:hAnsi="Times New Roman" w:cs="Times New Roman"/>
          <w:sz w:val="24"/>
          <w:szCs w:val="24"/>
        </w:rPr>
        <w:t xml:space="preserve"> </w:t>
      </w:r>
      <w:r w:rsidRPr="00E666E2">
        <w:rPr>
          <w:rFonts w:ascii="Times New Roman" w:hAnsi="Times New Roman" w:cs="Times New Roman"/>
          <w:sz w:val="24"/>
          <w:szCs w:val="24"/>
        </w:rPr>
        <w:t>prestazione del lavoro, l’organizzazione del lavoro da parte delle piattaforme digitali, la soggezione</w:t>
      </w:r>
      <w:r>
        <w:rPr>
          <w:rFonts w:ascii="Times New Roman" w:hAnsi="Times New Roman" w:cs="Times New Roman"/>
          <w:sz w:val="24"/>
          <w:szCs w:val="24"/>
        </w:rPr>
        <w:t xml:space="preserve"> </w:t>
      </w:r>
      <w:r w:rsidRPr="00E666E2">
        <w:rPr>
          <w:rFonts w:ascii="Times New Roman" w:hAnsi="Times New Roman" w:cs="Times New Roman"/>
          <w:sz w:val="24"/>
          <w:szCs w:val="24"/>
        </w:rPr>
        <w:t>del lavoratore alle indicazioni e alle direttive specifiche impartite dalla piattaforma e relative ai</w:t>
      </w:r>
      <w:r>
        <w:rPr>
          <w:rFonts w:ascii="Times New Roman" w:hAnsi="Times New Roman" w:cs="Times New Roman"/>
          <w:sz w:val="24"/>
          <w:szCs w:val="24"/>
        </w:rPr>
        <w:t xml:space="preserve"> </w:t>
      </w:r>
      <w:r w:rsidRPr="00E666E2">
        <w:rPr>
          <w:rFonts w:ascii="Times New Roman" w:hAnsi="Times New Roman" w:cs="Times New Roman"/>
          <w:sz w:val="24"/>
          <w:szCs w:val="24"/>
        </w:rPr>
        <w:t>contenuti della prestazione, alle modalità e ai tempi di svolgimento della stessa</w:t>
      </w:r>
      <w:r>
        <w:rPr>
          <w:rFonts w:ascii="Times New Roman" w:hAnsi="Times New Roman" w:cs="Times New Roman"/>
          <w:sz w:val="24"/>
          <w:szCs w:val="24"/>
        </w:rPr>
        <w:t>”</w:t>
      </w:r>
      <w:r w:rsidRPr="00E666E2">
        <w:rPr>
          <w:rFonts w:ascii="Times New Roman" w:hAnsi="Times New Roman" w:cs="Times New Roman"/>
          <w:sz w:val="24"/>
          <w:szCs w:val="24"/>
        </w:rPr>
        <w:t>.</w:t>
      </w:r>
    </w:p>
    <w:p w:rsidR="00E666E2" w:rsidRDefault="00E666E2" w:rsidP="00F52C9E">
      <w:pPr>
        <w:autoSpaceDE w:val="0"/>
        <w:autoSpaceDN w:val="0"/>
        <w:adjustRightInd w:val="0"/>
        <w:spacing w:after="0" w:line="276" w:lineRule="auto"/>
        <w:ind w:firstLine="357"/>
        <w:jc w:val="both"/>
        <w:rPr>
          <w:rFonts w:ascii="Times New Roman" w:hAnsi="Times New Roman" w:cs="Times New Roman"/>
          <w:sz w:val="24"/>
          <w:szCs w:val="24"/>
        </w:rPr>
      </w:pPr>
      <w:r>
        <w:rPr>
          <w:rFonts w:ascii="Times New Roman" w:hAnsi="Times New Roman" w:cs="Times New Roman"/>
          <w:sz w:val="24"/>
          <w:szCs w:val="24"/>
        </w:rPr>
        <w:t>La principale difficoltà per il legislatore delegato è la considerevole differenza che esiste tra l’articolazione delle fattispecie in cui può essere dedotta un’obbligazione lavorativa nel nostro ordinamento, e la assai più semplificata sistemazione binaria (lavoro subordinato o autonomo) tuttora prevalente nel diritto dell’Unione e anche nell’interpretazione che del diritto dell’Unione offre la giurisprudenza della Corte di Giustizia che la stessa Direttiva richiama espressamente.</w:t>
      </w:r>
    </w:p>
    <w:p w:rsidR="00E666E2" w:rsidRDefault="00E666E2" w:rsidP="00F52C9E">
      <w:pPr>
        <w:autoSpaceDE w:val="0"/>
        <w:autoSpaceDN w:val="0"/>
        <w:adjustRightInd w:val="0"/>
        <w:spacing w:after="0" w:line="276" w:lineRule="auto"/>
        <w:ind w:firstLine="357"/>
        <w:jc w:val="both"/>
        <w:rPr>
          <w:rFonts w:ascii="Times New Roman" w:hAnsi="Times New Roman" w:cs="Times New Roman"/>
          <w:sz w:val="24"/>
          <w:szCs w:val="24"/>
        </w:rPr>
      </w:pPr>
      <w:r>
        <w:rPr>
          <w:rFonts w:ascii="Times New Roman" w:hAnsi="Times New Roman" w:cs="Times New Roman"/>
          <w:sz w:val="24"/>
          <w:szCs w:val="24"/>
        </w:rPr>
        <w:t>P</w:t>
      </w:r>
      <w:r w:rsidR="00B56C4C">
        <w:rPr>
          <w:rFonts w:ascii="Times New Roman" w:hAnsi="Times New Roman" w:cs="Times New Roman"/>
          <w:sz w:val="24"/>
          <w:szCs w:val="24"/>
        </w:rPr>
        <w:t>u</w:t>
      </w:r>
      <w:r>
        <w:rPr>
          <w:rFonts w:ascii="Times New Roman" w:hAnsi="Times New Roman" w:cs="Times New Roman"/>
          <w:sz w:val="24"/>
          <w:szCs w:val="24"/>
        </w:rPr>
        <w:t xml:space="preserve">r tenendo conto di questa notevole difficoltà sistematica, occorre osservare che lo schema anche a questo proposito, come già segnalato, incorpora una contraddizione. Se, come ci dice l’art. 5, co. 2, dello schema costituisce elemento di fatto </w:t>
      </w:r>
      <w:r w:rsidR="007F5E03">
        <w:rPr>
          <w:rFonts w:ascii="Times New Roman" w:hAnsi="Times New Roman" w:cs="Times New Roman"/>
          <w:sz w:val="24"/>
          <w:szCs w:val="24"/>
        </w:rPr>
        <w:t>indicatore della direzione e del controllo della prestazione, e quindi fa presumere la subordinazione “</w:t>
      </w:r>
      <w:r w:rsidR="007F5E03" w:rsidRPr="00E666E2">
        <w:rPr>
          <w:rFonts w:ascii="Times New Roman" w:hAnsi="Times New Roman" w:cs="Times New Roman"/>
          <w:sz w:val="24"/>
          <w:szCs w:val="24"/>
        </w:rPr>
        <w:t>l’organizzazione del lavoro da parte delle piattaforme digitali</w:t>
      </w:r>
      <w:r w:rsidR="007F5E03">
        <w:rPr>
          <w:rFonts w:ascii="Times New Roman" w:hAnsi="Times New Roman" w:cs="Times New Roman"/>
          <w:sz w:val="24"/>
          <w:szCs w:val="24"/>
        </w:rPr>
        <w:t xml:space="preserve">”, si rammenta che – come ampiamente discusso </w:t>
      </w:r>
      <w:r w:rsidR="007F5E03" w:rsidRPr="007F5E03">
        <w:rPr>
          <w:rFonts w:ascii="Times New Roman" w:hAnsi="Times New Roman" w:cs="Times New Roman"/>
          <w:i/>
          <w:sz w:val="24"/>
          <w:szCs w:val="24"/>
        </w:rPr>
        <w:t>supra</w:t>
      </w:r>
      <w:r w:rsidR="007F5E03">
        <w:rPr>
          <w:rFonts w:ascii="Times New Roman" w:hAnsi="Times New Roman" w:cs="Times New Roman"/>
          <w:sz w:val="24"/>
          <w:szCs w:val="24"/>
        </w:rPr>
        <w:t xml:space="preserve"> -  ai sensi dell’art. 3, co. 1, lett. a), n. 3, dello stesso schema per essere definita piattaforma di lavoro digitale l’organizzazione del lavoro altrui non può </w:t>
      </w:r>
      <w:r w:rsidR="007F5E03" w:rsidRPr="007F5E03">
        <w:rPr>
          <w:rFonts w:ascii="Times New Roman" w:hAnsi="Times New Roman" w:cs="Times New Roman"/>
          <w:i/>
          <w:sz w:val="24"/>
          <w:szCs w:val="24"/>
        </w:rPr>
        <w:t xml:space="preserve">mai </w:t>
      </w:r>
      <w:r w:rsidR="007F5E03">
        <w:rPr>
          <w:rFonts w:ascii="Times New Roman" w:hAnsi="Times New Roman" w:cs="Times New Roman"/>
          <w:sz w:val="24"/>
          <w:szCs w:val="24"/>
        </w:rPr>
        <w:t xml:space="preserve">mancare: dunque, almeno questo elemento di fatto indicatore della direzione e del controllo sussisterebbe </w:t>
      </w:r>
      <w:r w:rsidR="007F5E03" w:rsidRPr="007F5E03">
        <w:rPr>
          <w:rFonts w:ascii="Times New Roman" w:hAnsi="Times New Roman" w:cs="Times New Roman"/>
          <w:i/>
          <w:sz w:val="24"/>
          <w:szCs w:val="24"/>
        </w:rPr>
        <w:t>sempre</w:t>
      </w:r>
      <w:r w:rsidR="007F5E03">
        <w:rPr>
          <w:rFonts w:ascii="Times New Roman" w:hAnsi="Times New Roman" w:cs="Times New Roman"/>
          <w:sz w:val="24"/>
          <w:szCs w:val="24"/>
        </w:rPr>
        <w:t>.</w:t>
      </w:r>
    </w:p>
    <w:p w:rsidR="007F5E03" w:rsidRDefault="007F5E03" w:rsidP="00F52C9E">
      <w:pPr>
        <w:autoSpaceDE w:val="0"/>
        <w:autoSpaceDN w:val="0"/>
        <w:adjustRightInd w:val="0"/>
        <w:spacing w:after="0" w:line="276" w:lineRule="auto"/>
        <w:ind w:firstLine="357"/>
        <w:jc w:val="both"/>
        <w:rPr>
          <w:rFonts w:ascii="Times New Roman" w:hAnsi="Times New Roman" w:cs="Times New Roman"/>
          <w:sz w:val="24"/>
          <w:szCs w:val="24"/>
        </w:rPr>
      </w:pPr>
      <w:r>
        <w:rPr>
          <w:rFonts w:ascii="Times New Roman" w:hAnsi="Times New Roman" w:cs="Times New Roman"/>
          <w:sz w:val="24"/>
          <w:szCs w:val="24"/>
        </w:rPr>
        <w:t xml:space="preserve">E qui si apre un altro problema delicatissimo: gli “elementi di fatto della direzione e del controllo” che determinano la presunzione legale di subordinazione </w:t>
      </w:r>
      <w:r w:rsidRPr="007F5E03">
        <w:rPr>
          <w:rFonts w:ascii="Times New Roman" w:hAnsi="Times New Roman" w:cs="Times New Roman"/>
          <w:i/>
          <w:sz w:val="24"/>
          <w:szCs w:val="24"/>
        </w:rPr>
        <w:t>iuris tantum</w:t>
      </w:r>
      <w:r>
        <w:rPr>
          <w:rFonts w:ascii="Times New Roman" w:hAnsi="Times New Roman" w:cs="Times New Roman"/>
          <w:sz w:val="24"/>
          <w:szCs w:val="24"/>
        </w:rPr>
        <w:t xml:space="preserve"> devono essere tutti compresenti? O ne basta soltanto uno (che come detto, c’è sempre per necessità stabilita dallo stesso schema di decreto), e quindi la presunzione diventerebbe automatica?</w:t>
      </w:r>
    </w:p>
    <w:p w:rsidR="001E3498" w:rsidRDefault="001E3498" w:rsidP="00F52C9E">
      <w:pPr>
        <w:autoSpaceDE w:val="0"/>
        <w:autoSpaceDN w:val="0"/>
        <w:adjustRightInd w:val="0"/>
        <w:spacing w:after="0" w:line="276" w:lineRule="auto"/>
        <w:ind w:firstLine="357"/>
        <w:jc w:val="both"/>
        <w:rPr>
          <w:rFonts w:ascii="Times New Roman" w:hAnsi="Times New Roman" w:cs="Times New Roman"/>
          <w:sz w:val="24"/>
          <w:szCs w:val="24"/>
        </w:rPr>
      </w:pPr>
      <w:r>
        <w:rPr>
          <w:rFonts w:ascii="Times New Roman" w:hAnsi="Times New Roman" w:cs="Times New Roman"/>
          <w:sz w:val="24"/>
          <w:szCs w:val="24"/>
        </w:rPr>
        <w:t>Quest’ultima soluzione appare del tutto coerente anche con quanto previsto dal considerando n. 30 della Direttiva, ove si afferma che “l</w:t>
      </w:r>
      <w:r w:rsidRPr="00EB1C29">
        <w:rPr>
          <w:rFonts w:ascii="Times New Roman" w:hAnsi="Times New Roman" w:cs="Times New Roman"/>
          <w:sz w:val="24"/>
          <w:szCs w:val="24"/>
        </w:rPr>
        <w:t>a direzione e il controllo possono assumere in casi concreti forme diverse, considerando che il modello di</w:t>
      </w:r>
      <w:r>
        <w:rPr>
          <w:rFonts w:ascii="Times New Roman" w:hAnsi="Times New Roman" w:cs="Times New Roman"/>
          <w:sz w:val="24"/>
          <w:szCs w:val="24"/>
        </w:rPr>
        <w:t xml:space="preserve"> </w:t>
      </w:r>
      <w:r w:rsidRPr="00EB1C29">
        <w:rPr>
          <w:rFonts w:ascii="Times New Roman" w:hAnsi="Times New Roman" w:cs="Times New Roman"/>
          <w:sz w:val="24"/>
          <w:szCs w:val="24"/>
        </w:rPr>
        <w:t>economia delle piattaforme è in costante evoluzione. Ad esempio, la piattaforma di lavoro digitale potrebbe</w:t>
      </w:r>
      <w:r>
        <w:rPr>
          <w:rFonts w:ascii="Times New Roman" w:hAnsi="Times New Roman" w:cs="Times New Roman"/>
          <w:sz w:val="24"/>
          <w:szCs w:val="24"/>
        </w:rPr>
        <w:t xml:space="preserve"> </w:t>
      </w:r>
      <w:r w:rsidRPr="00EB1C29">
        <w:rPr>
          <w:rFonts w:ascii="Times New Roman" w:hAnsi="Times New Roman" w:cs="Times New Roman"/>
          <w:sz w:val="24"/>
          <w:szCs w:val="24"/>
        </w:rPr>
        <w:t>esercitare direzione e controllo non solo con mezzi diretti, ma anche applicando misure punitive o altre forme di</w:t>
      </w:r>
      <w:r>
        <w:rPr>
          <w:rFonts w:ascii="Times New Roman" w:hAnsi="Times New Roman" w:cs="Times New Roman"/>
          <w:sz w:val="24"/>
          <w:szCs w:val="24"/>
        </w:rPr>
        <w:t xml:space="preserve"> </w:t>
      </w:r>
      <w:r w:rsidRPr="00EB1C29">
        <w:rPr>
          <w:rFonts w:ascii="Times New Roman" w:hAnsi="Times New Roman" w:cs="Times New Roman"/>
          <w:sz w:val="24"/>
          <w:szCs w:val="24"/>
        </w:rPr>
        <w:t>trattamenti sfavorevoli o pressioni</w:t>
      </w:r>
      <w:r>
        <w:rPr>
          <w:rFonts w:ascii="Times New Roman" w:hAnsi="Times New Roman" w:cs="Times New Roman"/>
          <w:sz w:val="24"/>
          <w:szCs w:val="24"/>
        </w:rPr>
        <w:t>”. È insomma evidente che, ai fini dell’attivazione del meccanismo di presunzione relativa, l’esame degli indicatori fattuali, oltre a non potersi risolvere in una tautologica indagine sull’eterodirezione, possa reputarsi positivamente concluso già allorché si riscontri un singolo elemento in grado di ostacolare la gestione genuinamente indipendente del servizio erogato, perdendo altrimenti la previsione in parola qualunque effetto agevolativo della prova processuale del rapporto di lavoro. Lo stesso considerando 31 della Direttiva, del resto, stabilisce che “u</w:t>
      </w:r>
      <w:r w:rsidRPr="006F67D5">
        <w:rPr>
          <w:rFonts w:ascii="Times New Roman" w:hAnsi="Times New Roman" w:cs="Times New Roman"/>
          <w:sz w:val="24"/>
          <w:szCs w:val="24"/>
        </w:rPr>
        <w:t>na presunzione legale efficace richiede che il diritto nazionale renda effettivamente facile per le persone che</w:t>
      </w:r>
      <w:r>
        <w:rPr>
          <w:rFonts w:ascii="Times New Roman" w:hAnsi="Times New Roman" w:cs="Times New Roman"/>
          <w:sz w:val="24"/>
          <w:szCs w:val="24"/>
        </w:rPr>
        <w:t xml:space="preserve"> </w:t>
      </w:r>
      <w:r w:rsidRPr="006F67D5">
        <w:rPr>
          <w:rFonts w:ascii="Times New Roman" w:hAnsi="Times New Roman" w:cs="Times New Roman"/>
          <w:sz w:val="24"/>
          <w:szCs w:val="24"/>
        </w:rPr>
        <w:t>svolgono un lavoro mediante piattaforme digitali beneficiare della presunzione</w:t>
      </w:r>
      <w:r>
        <w:rPr>
          <w:rFonts w:ascii="Times New Roman" w:hAnsi="Times New Roman" w:cs="Times New Roman"/>
          <w:sz w:val="24"/>
          <w:szCs w:val="24"/>
        </w:rPr>
        <w:t>”.</w:t>
      </w:r>
    </w:p>
    <w:p w:rsidR="007F5E03" w:rsidRDefault="001E3498" w:rsidP="00F52C9E">
      <w:pPr>
        <w:autoSpaceDE w:val="0"/>
        <w:autoSpaceDN w:val="0"/>
        <w:adjustRightInd w:val="0"/>
        <w:spacing w:after="0" w:line="276" w:lineRule="auto"/>
        <w:ind w:firstLine="357"/>
        <w:jc w:val="both"/>
        <w:rPr>
          <w:rFonts w:ascii="Times New Roman" w:hAnsi="Times New Roman" w:cs="Times New Roman"/>
          <w:sz w:val="24"/>
          <w:szCs w:val="24"/>
        </w:rPr>
      </w:pPr>
      <w:r>
        <w:rPr>
          <w:rFonts w:ascii="Times New Roman" w:hAnsi="Times New Roman" w:cs="Times New Roman"/>
          <w:sz w:val="24"/>
          <w:szCs w:val="24"/>
        </w:rPr>
        <w:t>In Italia, l</w:t>
      </w:r>
      <w:r w:rsidR="007F5E03" w:rsidRPr="00B56C4C">
        <w:rPr>
          <w:rFonts w:ascii="Times New Roman" w:hAnsi="Times New Roman" w:cs="Times New Roman"/>
          <w:sz w:val="24"/>
          <w:szCs w:val="24"/>
        </w:rPr>
        <w:t xml:space="preserve">a Corte di cassazione ha </w:t>
      </w:r>
      <w:r w:rsidR="0032516C" w:rsidRPr="00B56C4C">
        <w:rPr>
          <w:rFonts w:ascii="Times New Roman" w:hAnsi="Times New Roman" w:cs="Times New Roman"/>
          <w:sz w:val="24"/>
          <w:szCs w:val="24"/>
        </w:rPr>
        <w:t xml:space="preserve">da moltissimi anni riconosciuto che la subordinazione </w:t>
      </w:r>
      <w:r w:rsidR="00B56C4C" w:rsidRPr="00B56C4C">
        <w:rPr>
          <w:rFonts w:ascii="Times New Roman" w:hAnsi="Times New Roman" w:cs="Times New Roman"/>
          <w:sz w:val="24"/>
          <w:szCs w:val="24"/>
        </w:rPr>
        <w:t>sia “</w:t>
      </w:r>
      <w:r w:rsidR="00B56C4C">
        <w:rPr>
          <w:rFonts w:ascii="Times New Roman" w:hAnsi="Times New Roman" w:cs="Times New Roman"/>
          <w:sz w:val="24"/>
          <w:szCs w:val="24"/>
        </w:rPr>
        <w:t>d</w:t>
      </w:r>
      <w:r w:rsidR="00B56C4C" w:rsidRPr="00B56C4C">
        <w:rPr>
          <w:rFonts w:ascii="Times New Roman" w:hAnsi="Times New Roman" w:cs="Times New Roman"/>
          <w:sz w:val="24"/>
          <w:szCs w:val="24"/>
        </w:rPr>
        <w:t xml:space="preserve">a individuarsi soprattutto nell'inserimento continuativo nell'ambito della organizzazione dell'impresa […che…] può manifestarsi in vari modi e pertanto anche implicitamente nelle direttive programmatiche coincidenti con la stessa struttura aziendale” (Cass. </w:t>
      </w:r>
      <w:r w:rsidR="00B56C4C">
        <w:rPr>
          <w:rFonts w:ascii="Times New Roman" w:hAnsi="Times New Roman" w:cs="Times New Roman"/>
          <w:sz w:val="24"/>
          <w:szCs w:val="24"/>
        </w:rPr>
        <w:t xml:space="preserve">29 maggio 1991, n. 6086): e questa coincidenza tra organizzazione del lavoro altrui, piattaforma di lavoro digitale, applicazione delle tutele indicate dalla Direttiva fa apparire altamente opportuna la </w:t>
      </w:r>
      <w:r w:rsidR="00B56C4C" w:rsidRPr="00F52C9E">
        <w:rPr>
          <w:rFonts w:ascii="Times New Roman" w:hAnsi="Times New Roman" w:cs="Times New Roman"/>
          <w:i/>
          <w:sz w:val="24"/>
          <w:szCs w:val="24"/>
        </w:rPr>
        <w:t>cancellazione dell’art. 5, co. 2</w:t>
      </w:r>
      <w:r w:rsidR="00B56C4C">
        <w:rPr>
          <w:rFonts w:ascii="Times New Roman" w:hAnsi="Times New Roman" w:cs="Times New Roman"/>
          <w:sz w:val="24"/>
          <w:szCs w:val="24"/>
        </w:rPr>
        <w:t xml:space="preserve">, che introduce elementi equivoci e forieri di contenzioso, la cui mancanza invece renderebbe chiaro che l’etero-organizzazione del lavoro altrui richiesta dalla Direttiva di per se stessa determina – senza bisogno di riaprire la discussione dottrinale e giurisprudenziale sulla subordinazione – l’applicazione della presunzione legale </w:t>
      </w:r>
      <w:r w:rsidR="00B56C4C" w:rsidRPr="00B56C4C">
        <w:rPr>
          <w:rFonts w:ascii="Times New Roman" w:hAnsi="Times New Roman" w:cs="Times New Roman"/>
          <w:i/>
          <w:sz w:val="24"/>
          <w:szCs w:val="24"/>
        </w:rPr>
        <w:t>iuris tantum</w:t>
      </w:r>
      <w:r w:rsidR="00B56C4C">
        <w:rPr>
          <w:rFonts w:ascii="Times New Roman" w:hAnsi="Times New Roman" w:cs="Times New Roman"/>
          <w:sz w:val="24"/>
          <w:szCs w:val="24"/>
        </w:rPr>
        <w:t xml:space="preserve"> di qualificazione del rapporto come subordinato.</w:t>
      </w:r>
    </w:p>
    <w:p w:rsidR="00246F51" w:rsidRPr="00246F51" w:rsidRDefault="00246F51" w:rsidP="00F52C9E">
      <w:pPr>
        <w:autoSpaceDE w:val="0"/>
        <w:autoSpaceDN w:val="0"/>
        <w:adjustRightInd w:val="0"/>
        <w:spacing w:after="0" w:line="276" w:lineRule="auto"/>
        <w:ind w:firstLine="357"/>
        <w:jc w:val="both"/>
        <w:rPr>
          <w:rFonts w:ascii="Times New Roman" w:hAnsi="Times New Roman" w:cs="Times New Roman"/>
          <w:sz w:val="24"/>
          <w:szCs w:val="24"/>
        </w:rPr>
      </w:pPr>
      <w:r w:rsidRPr="00246F51">
        <w:rPr>
          <w:rFonts w:ascii="Times New Roman" w:hAnsi="Times New Roman" w:cs="Times New Roman"/>
          <w:sz w:val="24"/>
          <w:szCs w:val="24"/>
        </w:rPr>
        <w:t xml:space="preserve">In ogni caso, appare opportuno </w:t>
      </w:r>
      <w:r w:rsidRPr="00246F51">
        <w:rPr>
          <w:rFonts w:ascii="Times New Roman" w:hAnsi="Times New Roman" w:cs="Times New Roman"/>
          <w:b/>
          <w:i/>
          <w:sz w:val="24"/>
          <w:szCs w:val="24"/>
        </w:rPr>
        <w:t>riformulare anche l’art. 5, co. 1, in questi termini: “il rapporto di lavoro tra una piattaforma di lavoro digitale e una persona che svolge un lavoro mediante tale piattaforma si presume subordinato quando, dai fatti relativi all'effettiva esecuzione ed organizzazione della prestazione lavorativa, ivi compreso l'utilizzo di sistemi di monitoraggio e decisionali automatizzati, emergono elementi che indicano direzione e controllo, salvo prova contraria</w:t>
      </w:r>
      <w:r w:rsidRPr="00246F51">
        <w:rPr>
          <w:rFonts w:ascii="Times New Roman" w:hAnsi="Times New Roman" w:cs="Times New Roman"/>
          <w:sz w:val="24"/>
          <w:szCs w:val="24"/>
        </w:rPr>
        <w:t>”, spostando la frase incidentale “</w:t>
      </w:r>
      <w:r w:rsidRPr="00246F51">
        <w:rPr>
          <w:rFonts w:ascii="Times New Roman" w:hAnsi="Times New Roman" w:cs="Times New Roman"/>
          <w:i/>
          <w:sz w:val="24"/>
          <w:szCs w:val="24"/>
        </w:rPr>
        <w:t>ivi compreso l'utilizzo di sistemi di monitoraggio e decisionali automatizzati</w:t>
      </w:r>
      <w:r w:rsidRPr="00246F51">
        <w:rPr>
          <w:rFonts w:ascii="Times New Roman" w:hAnsi="Times New Roman" w:cs="Times New Roman"/>
          <w:sz w:val="24"/>
          <w:szCs w:val="24"/>
        </w:rPr>
        <w:t xml:space="preserve">” per evitare che anziché </w:t>
      </w:r>
      <w:r w:rsidR="0037772F">
        <w:rPr>
          <w:rFonts w:ascii="Times New Roman" w:hAnsi="Times New Roman" w:cs="Times New Roman"/>
          <w:sz w:val="24"/>
          <w:szCs w:val="24"/>
        </w:rPr>
        <w:t>a</w:t>
      </w:r>
      <w:r w:rsidRPr="00246F51">
        <w:rPr>
          <w:rFonts w:ascii="Times New Roman" w:hAnsi="Times New Roman" w:cs="Times New Roman"/>
          <w:sz w:val="24"/>
          <w:szCs w:val="24"/>
        </w:rPr>
        <w:t>i fatti relativi all’esecuzione e organizzazione del lavoro, la presunzione si applichi – come si potrebbe sia pure erroneamente ritenere - solo quando siano i sistemi automatizzati ad applicarsi all’esecuzione del lavoro</w:t>
      </w:r>
      <w:r w:rsidR="0037772F">
        <w:rPr>
          <w:rFonts w:ascii="Times New Roman" w:hAnsi="Times New Roman" w:cs="Times New Roman"/>
          <w:sz w:val="24"/>
          <w:szCs w:val="24"/>
        </w:rPr>
        <w:t>, il che contrasterebbe con lo stesso art. 4 della Direttiva che indica chiaramente come l’uso dei sistemi automatizzati sia solo uno dei fatti rilevanti</w:t>
      </w:r>
      <w:r>
        <w:rPr>
          <w:rFonts w:ascii="Times New Roman" w:hAnsi="Times New Roman" w:cs="Times New Roman"/>
          <w:sz w:val="24"/>
          <w:szCs w:val="24"/>
        </w:rPr>
        <w:t>.</w:t>
      </w:r>
    </w:p>
    <w:p w:rsidR="00B56C4C" w:rsidRDefault="00B56C4C" w:rsidP="00554D2D">
      <w:pPr>
        <w:pStyle w:val="Paragrafoelenco"/>
        <w:numPr>
          <w:ilvl w:val="0"/>
          <w:numId w:val="1"/>
        </w:numPr>
        <w:autoSpaceDE w:val="0"/>
        <w:autoSpaceDN w:val="0"/>
        <w:adjustRightInd w:val="0"/>
        <w:spacing w:after="0" w:line="276" w:lineRule="auto"/>
        <w:ind w:left="0" w:firstLine="357"/>
        <w:jc w:val="both"/>
        <w:rPr>
          <w:rFonts w:ascii="Times New Roman" w:hAnsi="Times New Roman" w:cs="Times New Roman"/>
          <w:sz w:val="24"/>
          <w:szCs w:val="24"/>
        </w:rPr>
      </w:pPr>
      <w:r>
        <w:rPr>
          <w:rFonts w:ascii="Times New Roman" w:hAnsi="Times New Roman" w:cs="Times New Roman"/>
          <w:sz w:val="24"/>
          <w:szCs w:val="24"/>
        </w:rPr>
        <w:t xml:space="preserve">Tutto il Capo III dello schema di decreto </w:t>
      </w:r>
      <w:r w:rsidR="00A24C23">
        <w:rPr>
          <w:rFonts w:ascii="Times New Roman" w:hAnsi="Times New Roman" w:cs="Times New Roman"/>
          <w:sz w:val="24"/>
          <w:szCs w:val="24"/>
        </w:rPr>
        <w:t>legislativo</w:t>
      </w:r>
      <w:r>
        <w:rPr>
          <w:rFonts w:ascii="Times New Roman" w:hAnsi="Times New Roman" w:cs="Times New Roman"/>
          <w:sz w:val="24"/>
          <w:szCs w:val="24"/>
        </w:rPr>
        <w:t xml:space="preserve"> (</w:t>
      </w:r>
      <w:r w:rsidRPr="00A24C23">
        <w:rPr>
          <w:rFonts w:ascii="Times New Roman" w:hAnsi="Times New Roman" w:cs="Times New Roman"/>
          <w:b/>
          <w:sz w:val="24"/>
          <w:szCs w:val="24"/>
        </w:rPr>
        <w:t>artt. 6-10</w:t>
      </w:r>
      <w:r>
        <w:rPr>
          <w:rFonts w:ascii="Times New Roman" w:hAnsi="Times New Roman" w:cs="Times New Roman"/>
          <w:sz w:val="24"/>
          <w:szCs w:val="24"/>
        </w:rPr>
        <w:t xml:space="preserve">) è dedicato </w:t>
      </w:r>
      <w:r w:rsidR="00A24C23">
        <w:rPr>
          <w:rFonts w:ascii="Times New Roman" w:hAnsi="Times New Roman" w:cs="Times New Roman"/>
          <w:sz w:val="24"/>
          <w:szCs w:val="24"/>
        </w:rPr>
        <w:t>ai sistemi di monitoraggio e di decisione automatizzati, largamente diffusi nelle piattaforme di lavoro digitale.</w:t>
      </w:r>
    </w:p>
    <w:p w:rsidR="008E4FF2" w:rsidRDefault="00723D22" w:rsidP="00723D22">
      <w:pPr>
        <w:pStyle w:val="Paragrafoelenco"/>
        <w:autoSpaceDE w:val="0"/>
        <w:autoSpaceDN w:val="0"/>
        <w:adjustRightInd w:val="0"/>
        <w:spacing w:after="0" w:line="276" w:lineRule="auto"/>
        <w:ind w:left="0" w:firstLine="357"/>
        <w:jc w:val="both"/>
        <w:rPr>
          <w:rFonts w:ascii="Times New Roman" w:hAnsi="Times New Roman" w:cs="Times New Roman"/>
          <w:sz w:val="24"/>
          <w:szCs w:val="24"/>
        </w:rPr>
      </w:pPr>
      <w:r>
        <w:rPr>
          <w:rFonts w:ascii="Times New Roman" w:hAnsi="Times New Roman" w:cs="Times New Roman"/>
          <w:sz w:val="24"/>
          <w:szCs w:val="24"/>
        </w:rPr>
        <w:t>Per quanto riguarda l’</w:t>
      </w:r>
      <w:r w:rsidRPr="00723D22">
        <w:rPr>
          <w:rFonts w:ascii="Times New Roman" w:hAnsi="Times New Roman" w:cs="Times New Roman"/>
          <w:b/>
          <w:sz w:val="24"/>
          <w:szCs w:val="24"/>
        </w:rPr>
        <w:t>art. 6</w:t>
      </w:r>
      <w:r>
        <w:rPr>
          <w:rFonts w:ascii="Times New Roman" w:hAnsi="Times New Roman" w:cs="Times New Roman"/>
          <w:sz w:val="24"/>
          <w:szCs w:val="24"/>
        </w:rPr>
        <w:t>, esso rip</w:t>
      </w:r>
      <w:r w:rsidRPr="00723D22">
        <w:rPr>
          <w:rFonts w:ascii="Times New Roman" w:hAnsi="Times New Roman" w:cs="Times New Roman"/>
          <w:sz w:val="24"/>
          <w:szCs w:val="24"/>
        </w:rPr>
        <w:t>rende quasi alla lettera le previsioni</w:t>
      </w:r>
      <w:r>
        <w:rPr>
          <w:rFonts w:ascii="Times New Roman" w:hAnsi="Times New Roman" w:cs="Times New Roman"/>
          <w:b/>
          <w:sz w:val="24"/>
          <w:szCs w:val="24"/>
        </w:rPr>
        <w:t xml:space="preserve"> </w:t>
      </w:r>
      <w:r w:rsidRPr="00723D22">
        <w:rPr>
          <w:rFonts w:ascii="Times New Roman" w:hAnsi="Times New Roman" w:cs="Times New Roman"/>
          <w:sz w:val="24"/>
          <w:szCs w:val="24"/>
        </w:rPr>
        <w:t xml:space="preserve">sulla tutela dei dati personali contenute </w:t>
      </w:r>
      <w:r>
        <w:rPr>
          <w:rFonts w:ascii="Times New Roman" w:hAnsi="Times New Roman" w:cs="Times New Roman"/>
          <w:sz w:val="24"/>
          <w:szCs w:val="24"/>
        </w:rPr>
        <w:t xml:space="preserve">nei primi due paragrafi dell’art. 7 della Direttiva. </w:t>
      </w:r>
    </w:p>
    <w:p w:rsidR="00723D22" w:rsidRDefault="00723D22" w:rsidP="00723D22">
      <w:pPr>
        <w:pStyle w:val="Paragrafoelenco"/>
        <w:autoSpaceDE w:val="0"/>
        <w:autoSpaceDN w:val="0"/>
        <w:adjustRightInd w:val="0"/>
        <w:spacing w:after="0" w:line="276" w:lineRule="auto"/>
        <w:ind w:left="0" w:firstLine="357"/>
        <w:jc w:val="both"/>
        <w:rPr>
          <w:rFonts w:ascii="Times New Roman" w:hAnsi="Times New Roman" w:cs="Times New Roman"/>
          <w:sz w:val="24"/>
          <w:szCs w:val="24"/>
        </w:rPr>
      </w:pPr>
      <w:r>
        <w:rPr>
          <w:rFonts w:ascii="Times New Roman" w:hAnsi="Times New Roman" w:cs="Times New Roman"/>
          <w:sz w:val="24"/>
          <w:szCs w:val="24"/>
        </w:rPr>
        <w:t xml:space="preserve">Non è dato evincere dalla </w:t>
      </w:r>
      <w:r w:rsidRPr="00BE679D">
        <w:rPr>
          <w:rFonts w:ascii="Times New Roman" w:hAnsi="Times New Roman" w:cs="Times New Roman"/>
          <w:i/>
          <w:sz w:val="24"/>
          <w:szCs w:val="24"/>
        </w:rPr>
        <w:t>Relazione illustrativa</w:t>
      </w:r>
      <w:r>
        <w:rPr>
          <w:rFonts w:ascii="Times New Roman" w:hAnsi="Times New Roman" w:cs="Times New Roman"/>
          <w:sz w:val="24"/>
          <w:szCs w:val="24"/>
        </w:rPr>
        <w:t xml:space="preserve">, che non ne parla affatto, il motivo per il quale lo schema non riprenda anche il terzo paragrafo dell’art. 7 della Direttiva, il quale dispone che </w:t>
      </w:r>
      <w:r w:rsidRPr="00723D22">
        <w:rPr>
          <w:rFonts w:ascii="Times New Roman" w:hAnsi="Times New Roman" w:cs="Times New Roman"/>
          <w:sz w:val="24"/>
          <w:szCs w:val="24"/>
        </w:rPr>
        <w:t>“</w:t>
      </w:r>
      <w:r>
        <w:rPr>
          <w:rFonts w:ascii="Times New Roman" w:hAnsi="Times New Roman" w:cs="Times New Roman"/>
          <w:sz w:val="24"/>
          <w:szCs w:val="24"/>
        </w:rPr>
        <w:t>o</w:t>
      </w:r>
      <w:r w:rsidRPr="00723D22">
        <w:rPr>
          <w:rFonts w:ascii="Times New Roman" w:hAnsi="Times New Roman" w:cs="Times New Roman"/>
          <w:sz w:val="24"/>
          <w:szCs w:val="24"/>
        </w:rPr>
        <w:t>ltre ai sistemi di monitoraggio automatizzati e ai sistemi decisionali automatizzati, il presente articolo si applica anche alle piattaforme di lavoro digitali qualora queste utilizzino sistemi automatizzati che prendono o sostengono decisioni che incidono in qualche modo sulle persone che svolgono un lavoro mediante piattaforme digitali</w:t>
      </w:r>
      <w:r>
        <w:rPr>
          <w:rFonts w:ascii="Times New Roman" w:hAnsi="Times New Roman" w:cs="Times New Roman"/>
          <w:sz w:val="24"/>
          <w:szCs w:val="24"/>
        </w:rPr>
        <w:t>”</w:t>
      </w:r>
      <w:r w:rsidRPr="00723D22">
        <w:rPr>
          <w:rFonts w:ascii="Times New Roman" w:hAnsi="Times New Roman" w:cs="Times New Roman"/>
          <w:sz w:val="24"/>
          <w:szCs w:val="24"/>
        </w:rPr>
        <w:t>.</w:t>
      </w:r>
      <w:r>
        <w:rPr>
          <w:rFonts w:ascii="Times New Roman" w:hAnsi="Times New Roman" w:cs="Times New Roman"/>
          <w:sz w:val="24"/>
          <w:szCs w:val="24"/>
        </w:rPr>
        <w:t xml:space="preserve"> Una corretta recezione della Direttiva credo dovrebbe includere anche questa previsione, perché altrimenti se ne restringe</w:t>
      </w:r>
      <w:r w:rsidR="003F2FA4">
        <w:rPr>
          <w:rFonts w:ascii="Times New Roman" w:hAnsi="Times New Roman" w:cs="Times New Roman"/>
          <w:sz w:val="24"/>
          <w:szCs w:val="24"/>
        </w:rPr>
        <w:t>rebbe</w:t>
      </w:r>
      <w:r>
        <w:rPr>
          <w:rFonts w:ascii="Times New Roman" w:hAnsi="Times New Roman" w:cs="Times New Roman"/>
          <w:sz w:val="24"/>
          <w:szCs w:val="24"/>
        </w:rPr>
        <w:t xml:space="preserve"> </w:t>
      </w:r>
      <w:r w:rsidR="003F2FA4">
        <w:rPr>
          <w:rFonts w:ascii="Times New Roman" w:hAnsi="Times New Roman" w:cs="Times New Roman"/>
          <w:sz w:val="24"/>
          <w:szCs w:val="24"/>
        </w:rPr>
        <w:t xml:space="preserve">illegittimamente </w:t>
      </w:r>
      <w:r>
        <w:rPr>
          <w:rFonts w:ascii="Times New Roman" w:hAnsi="Times New Roman" w:cs="Times New Roman"/>
          <w:sz w:val="24"/>
          <w:szCs w:val="24"/>
        </w:rPr>
        <w:t>il campo di applicazione per quanto riguarda il tema di cui quelle previsioni si occupano.</w:t>
      </w:r>
    </w:p>
    <w:p w:rsidR="0000787B" w:rsidRDefault="0000787B" w:rsidP="00723D22">
      <w:pPr>
        <w:pStyle w:val="Paragrafoelenco"/>
        <w:autoSpaceDE w:val="0"/>
        <w:autoSpaceDN w:val="0"/>
        <w:adjustRightInd w:val="0"/>
        <w:spacing w:after="0" w:line="276" w:lineRule="auto"/>
        <w:ind w:left="0" w:firstLine="357"/>
        <w:jc w:val="both"/>
        <w:rPr>
          <w:rFonts w:ascii="Times New Roman" w:hAnsi="Times New Roman" w:cs="Times New Roman"/>
          <w:sz w:val="24"/>
          <w:szCs w:val="24"/>
        </w:rPr>
      </w:pPr>
      <w:r w:rsidRPr="0000787B">
        <w:rPr>
          <w:rFonts w:ascii="Times New Roman" w:hAnsi="Times New Roman" w:cs="Times New Roman"/>
          <w:sz w:val="24"/>
          <w:szCs w:val="24"/>
        </w:rPr>
        <w:t>L’</w:t>
      </w:r>
      <w:r w:rsidRPr="0000787B">
        <w:rPr>
          <w:rFonts w:ascii="Times New Roman" w:hAnsi="Times New Roman" w:cs="Times New Roman"/>
          <w:b/>
          <w:sz w:val="24"/>
          <w:szCs w:val="24"/>
        </w:rPr>
        <w:t>art. 7</w:t>
      </w:r>
      <w:r w:rsidRPr="0000787B">
        <w:rPr>
          <w:rFonts w:ascii="Times New Roman" w:hAnsi="Times New Roman" w:cs="Times New Roman"/>
          <w:sz w:val="24"/>
          <w:szCs w:val="24"/>
        </w:rPr>
        <w:t xml:space="preserve"> dello schema contiene invece una corretta trasposizione dell’art. 8 della Direttiva in tema di valutazione d’impatto della protezione dei dati personali</w:t>
      </w:r>
      <w:r>
        <w:rPr>
          <w:rFonts w:ascii="Times New Roman" w:hAnsi="Times New Roman" w:cs="Times New Roman"/>
          <w:sz w:val="24"/>
          <w:szCs w:val="24"/>
        </w:rPr>
        <w:t xml:space="preserve"> e dei relativi diritti d’informazione.</w:t>
      </w:r>
    </w:p>
    <w:p w:rsidR="007E5925" w:rsidRDefault="0000787B" w:rsidP="007E5925">
      <w:pPr>
        <w:pStyle w:val="Default"/>
        <w:spacing w:line="276" w:lineRule="auto"/>
        <w:ind w:firstLine="357"/>
        <w:jc w:val="both"/>
        <w:rPr>
          <w:rFonts w:ascii="Times New Roman" w:hAnsi="Times New Roman" w:cs="Times New Roman"/>
        </w:rPr>
      </w:pPr>
      <w:r w:rsidRPr="007E5925">
        <w:rPr>
          <w:rFonts w:ascii="Times New Roman" w:hAnsi="Times New Roman" w:cs="Times New Roman"/>
        </w:rPr>
        <w:t>L’</w:t>
      </w:r>
      <w:r w:rsidRPr="007E5925">
        <w:rPr>
          <w:rFonts w:ascii="Times New Roman" w:hAnsi="Times New Roman" w:cs="Times New Roman"/>
          <w:b/>
        </w:rPr>
        <w:t>art. 8</w:t>
      </w:r>
      <w:r w:rsidRPr="007E5925">
        <w:rPr>
          <w:rFonts w:ascii="Times New Roman" w:hAnsi="Times New Roman" w:cs="Times New Roman"/>
        </w:rPr>
        <w:t xml:space="preserve">, sulla trasparenza dei detti sistemi, lascia la perplessità per il fatto che </w:t>
      </w:r>
      <w:r w:rsidR="007E5925" w:rsidRPr="007E5925">
        <w:rPr>
          <w:rFonts w:ascii="Times New Roman" w:hAnsi="Times New Roman" w:cs="Times New Roman"/>
        </w:rPr>
        <w:t xml:space="preserve">lo schema di decreto abbia sostituito, al comma 2, lett. </w:t>
      </w:r>
      <w:r w:rsidR="007E5925" w:rsidRPr="007E5925">
        <w:rPr>
          <w:rFonts w:ascii="Times New Roman" w:hAnsi="Times New Roman" w:cs="Times New Roman"/>
          <w:i/>
        </w:rPr>
        <w:t>b)</w:t>
      </w:r>
      <w:r w:rsidR="007E5925" w:rsidRPr="007E5925">
        <w:rPr>
          <w:rFonts w:ascii="Times New Roman" w:hAnsi="Times New Roman" w:cs="Times New Roman"/>
        </w:rPr>
        <w:t>, n. 3, la dizione della Direttiva “le categorie di dati e i principali parametri di cui tali sistemi tengono conto e l’importanza relativa di tali principali parametri nel processo decisionale automatizzato, compreso il modo in cui i dati personali o il comportamento della persona che svolge un lavoro mediante piattaforme digitali incidono sulle decisioni”</w:t>
      </w:r>
      <w:r w:rsidR="007E5925">
        <w:rPr>
          <w:rFonts w:ascii="Times New Roman" w:hAnsi="Times New Roman" w:cs="Times New Roman"/>
        </w:rPr>
        <w:t>, che parlando” con la differente previsione che parla di “impatto di tali principali parametri nel processo decisionale automatizzato”, rendendo oscuro</w:t>
      </w:r>
      <w:r w:rsidR="00BE679D">
        <w:rPr>
          <w:rFonts w:ascii="Times New Roman" w:hAnsi="Times New Roman" w:cs="Times New Roman"/>
        </w:rPr>
        <w:t>,</w:t>
      </w:r>
      <w:r w:rsidR="007E5925">
        <w:rPr>
          <w:rFonts w:ascii="Times New Roman" w:hAnsi="Times New Roman" w:cs="Times New Roman"/>
        </w:rPr>
        <w:t xml:space="preserve"> </w:t>
      </w:r>
      <w:r w:rsidR="00BE679D">
        <w:rPr>
          <w:rFonts w:ascii="Times New Roman" w:hAnsi="Times New Roman" w:cs="Times New Roman"/>
        </w:rPr>
        <w:t xml:space="preserve">per la genericità dell’espressione “impatto” che sostituisce quella “importanza relativa”, </w:t>
      </w:r>
      <w:r w:rsidR="007E5925">
        <w:rPr>
          <w:rFonts w:ascii="Times New Roman" w:hAnsi="Times New Roman" w:cs="Times New Roman"/>
        </w:rPr>
        <w:t xml:space="preserve">se – come chiede la Direttiva – sia quantificato il peso di ciascun parametro. Neanche su questo la </w:t>
      </w:r>
      <w:r w:rsidR="007E5925" w:rsidRPr="007E5925">
        <w:rPr>
          <w:rFonts w:ascii="Times New Roman" w:hAnsi="Times New Roman" w:cs="Times New Roman"/>
          <w:i/>
        </w:rPr>
        <w:t>Relazione illustrativa</w:t>
      </w:r>
      <w:r w:rsidR="007E5925">
        <w:rPr>
          <w:rFonts w:ascii="Times New Roman" w:hAnsi="Times New Roman" w:cs="Times New Roman"/>
        </w:rPr>
        <w:t xml:space="preserve"> offre una motivazione.</w:t>
      </w:r>
    </w:p>
    <w:p w:rsidR="00971BEC" w:rsidRDefault="005B6DC2" w:rsidP="00971BEC">
      <w:pPr>
        <w:pStyle w:val="Default"/>
        <w:spacing w:line="276" w:lineRule="auto"/>
        <w:ind w:firstLine="357"/>
        <w:jc w:val="both"/>
        <w:rPr>
          <w:rFonts w:ascii="Times New Roman" w:hAnsi="Times New Roman" w:cs="Times New Roman"/>
        </w:rPr>
      </w:pPr>
      <w:r w:rsidRPr="00971BEC">
        <w:rPr>
          <w:rFonts w:ascii="Times New Roman" w:hAnsi="Times New Roman" w:cs="Times New Roman"/>
        </w:rPr>
        <w:t xml:space="preserve">Non pare inoltre che la </w:t>
      </w:r>
      <w:r w:rsidR="000A40C8">
        <w:rPr>
          <w:rFonts w:ascii="Times New Roman" w:hAnsi="Times New Roman" w:cs="Times New Roman"/>
        </w:rPr>
        <w:t>D</w:t>
      </w:r>
      <w:r w:rsidRPr="00971BEC">
        <w:rPr>
          <w:rFonts w:ascii="Times New Roman" w:hAnsi="Times New Roman" w:cs="Times New Roman"/>
        </w:rPr>
        <w:t xml:space="preserve">irettiva sia stata correttamente recepita anche per quanto riguarda destinatari e contenuti dell’informazione. La Direttiva all’art. 9, par. 3, crea infatti un duplice livello di informazione diretta alle persone che lavorano con le piattaforme digitali: “in modo conciso” le informazioni di cui </w:t>
      </w:r>
      <w:r w:rsidR="00971BEC" w:rsidRPr="00971BEC">
        <w:rPr>
          <w:rFonts w:ascii="Times New Roman" w:hAnsi="Times New Roman" w:cs="Times New Roman"/>
        </w:rPr>
        <w:t>al par. 1 (nello schema di decreto legislativo indicate come già ricordato all’art. 8, co. 2) “</w:t>
      </w:r>
      <w:r w:rsidR="00971BEC" w:rsidRPr="00971BEC">
        <w:rPr>
          <w:rFonts w:ascii="Times New Roman" w:hAnsi="Times New Roman" w:cs="Times New Roman"/>
          <w:i/>
        </w:rPr>
        <w:t>a)</w:t>
      </w:r>
      <w:r w:rsidR="00971BEC" w:rsidRPr="00971BEC">
        <w:rPr>
          <w:rFonts w:ascii="Times New Roman" w:hAnsi="Times New Roman" w:cs="Times New Roman"/>
        </w:rPr>
        <w:t xml:space="preserve"> al più tardi il primo giorno di lavoro; </w:t>
      </w:r>
      <w:r w:rsidR="00971BEC" w:rsidRPr="00971BEC">
        <w:rPr>
          <w:rFonts w:ascii="Times New Roman" w:hAnsi="Times New Roman" w:cs="Times New Roman"/>
          <w:i/>
        </w:rPr>
        <w:t xml:space="preserve">b) </w:t>
      </w:r>
      <w:r w:rsidR="00971BEC" w:rsidRPr="00971BEC">
        <w:rPr>
          <w:rFonts w:ascii="Times New Roman" w:hAnsi="Times New Roman" w:cs="Times New Roman"/>
        </w:rPr>
        <w:t xml:space="preserve">prima dell’introduzione di modifiche che incidono sulle condizioni di lavoro, sull’organizzazione del lavoro o sul monitoraggio dell’esecuzione del lavoro; </w:t>
      </w:r>
      <w:r w:rsidR="00971BEC" w:rsidRPr="00971BEC">
        <w:rPr>
          <w:rFonts w:ascii="Times New Roman" w:hAnsi="Times New Roman" w:cs="Times New Roman"/>
          <w:i/>
        </w:rPr>
        <w:t>c)</w:t>
      </w:r>
      <w:r w:rsidR="00971BEC" w:rsidRPr="00971BEC">
        <w:rPr>
          <w:rFonts w:ascii="Times New Roman" w:hAnsi="Times New Roman" w:cs="Times New Roman"/>
        </w:rPr>
        <w:t xml:space="preserve"> e</w:t>
      </w:r>
      <w:r w:rsidR="00971BEC">
        <w:rPr>
          <w:rFonts w:ascii="Times New Roman" w:hAnsi="Times New Roman" w:cs="Times New Roman"/>
        </w:rPr>
        <w:t xml:space="preserve"> </w:t>
      </w:r>
      <w:r w:rsidR="00971BEC" w:rsidRPr="00971BEC">
        <w:rPr>
          <w:rFonts w:ascii="Times New Roman" w:hAnsi="Times New Roman" w:cs="Times New Roman"/>
        </w:rPr>
        <w:t>in qual</w:t>
      </w:r>
      <w:r w:rsidR="00971BEC">
        <w:rPr>
          <w:rFonts w:ascii="Times New Roman" w:hAnsi="Times New Roman" w:cs="Times New Roman"/>
        </w:rPr>
        <w:t xml:space="preserve">siasi momento su loro richiesta”; e poi più approfonditamente: </w:t>
      </w:r>
      <w:r w:rsidR="00971BEC" w:rsidRPr="00971BEC">
        <w:rPr>
          <w:rFonts w:ascii="Times New Roman" w:hAnsi="Times New Roman" w:cs="Times New Roman"/>
        </w:rPr>
        <w:t>“inoltre, su richiesta delle persone che svolgono un lavoro mediante piattaforme digitali, le piattaforme di lavoro digitali forniscono loro in modo completo e dettagliato le informazioni di cui al paragrafo 1 su tutti i sistemi pertinenti e sulle relative caratteristiche”.</w:t>
      </w:r>
    </w:p>
    <w:p w:rsidR="00971BEC" w:rsidRDefault="00971BEC" w:rsidP="00971BEC">
      <w:pPr>
        <w:pStyle w:val="Default"/>
        <w:spacing w:line="276" w:lineRule="auto"/>
        <w:ind w:firstLine="357"/>
        <w:jc w:val="both"/>
        <w:rPr>
          <w:rFonts w:ascii="Times New Roman" w:hAnsi="Times New Roman" w:cs="Times New Roman"/>
        </w:rPr>
      </w:pPr>
      <w:r>
        <w:rPr>
          <w:rFonts w:ascii="Times New Roman" w:hAnsi="Times New Roman" w:cs="Times New Roman"/>
        </w:rPr>
        <w:t>Invece, nello schema di decreto non c’è niente di tutto questo, mentre all’art. 9, co. 4 e 5, sono correttamente trasposti gli obblighi di informazione nei confronti dei rappresentanti dei lavoratori e delle autorità nazionali.</w:t>
      </w:r>
      <w:r w:rsidR="00B5282F">
        <w:rPr>
          <w:rFonts w:ascii="Times New Roman" w:hAnsi="Times New Roman" w:cs="Times New Roman"/>
        </w:rPr>
        <w:t xml:space="preserve"> Quindi il diritto individuale delle persone interessate all’informazione su questi sistemi risulterebbe illegittimamente e inopportunamente ridimensionato, senza che a ciò possano supplire adeguatamente i diritti derivanti dall’applicazione del decreto legislativo 26 maggio 1997, n. 152, e successive modificazioni e integrazioni.</w:t>
      </w:r>
    </w:p>
    <w:p w:rsidR="00B5282F" w:rsidRDefault="00B5282F" w:rsidP="00971BEC">
      <w:pPr>
        <w:pStyle w:val="Default"/>
        <w:spacing w:line="276" w:lineRule="auto"/>
        <w:ind w:firstLine="357"/>
        <w:jc w:val="both"/>
        <w:rPr>
          <w:rFonts w:ascii="Times New Roman" w:hAnsi="Times New Roman" w:cs="Times New Roman"/>
        </w:rPr>
      </w:pPr>
      <w:r>
        <w:rPr>
          <w:rFonts w:ascii="Times New Roman" w:hAnsi="Times New Roman" w:cs="Times New Roman"/>
        </w:rPr>
        <w:t>L’</w:t>
      </w:r>
      <w:r w:rsidRPr="00B5282F">
        <w:rPr>
          <w:rFonts w:ascii="Times New Roman" w:hAnsi="Times New Roman" w:cs="Times New Roman"/>
          <w:b/>
        </w:rPr>
        <w:t>art. 9</w:t>
      </w:r>
      <w:r w:rsidR="00BA4416">
        <w:rPr>
          <w:rFonts w:ascii="Times New Roman" w:hAnsi="Times New Roman" w:cs="Times New Roman"/>
          <w:b/>
        </w:rPr>
        <w:t xml:space="preserve"> </w:t>
      </w:r>
      <w:r w:rsidR="00BA4416" w:rsidRPr="00BA4416">
        <w:rPr>
          <w:rFonts w:ascii="Times New Roman" w:hAnsi="Times New Roman" w:cs="Times New Roman"/>
        </w:rPr>
        <w:t>in t</w:t>
      </w:r>
      <w:r w:rsidRPr="00BA4416">
        <w:rPr>
          <w:rFonts w:ascii="Times New Roman" w:hAnsi="Times New Roman" w:cs="Times New Roman"/>
        </w:rPr>
        <w:t>ema di supervisione umana dei s</w:t>
      </w:r>
      <w:r w:rsidR="00BA4416">
        <w:rPr>
          <w:rFonts w:ascii="Times New Roman" w:hAnsi="Times New Roman" w:cs="Times New Roman"/>
        </w:rPr>
        <w:t>i</w:t>
      </w:r>
      <w:r w:rsidRPr="00BA4416">
        <w:rPr>
          <w:rFonts w:ascii="Times New Roman" w:hAnsi="Times New Roman" w:cs="Times New Roman"/>
        </w:rPr>
        <w:t>stemi automatizzati</w:t>
      </w:r>
      <w:r w:rsidR="00BA4416" w:rsidRPr="00BA4416">
        <w:rPr>
          <w:rFonts w:ascii="Times New Roman" w:hAnsi="Times New Roman" w:cs="Times New Roman"/>
        </w:rPr>
        <w:t xml:space="preserve">, che recepisce l’art. 10 della Direttiva, </w:t>
      </w:r>
      <w:r w:rsidR="00D00065">
        <w:rPr>
          <w:rFonts w:ascii="Times New Roman" w:hAnsi="Times New Roman" w:cs="Times New Roman"/>
        </w:rPr>
        <w:t>introduce al co. 1 un riferimento agli indicatori di rischio contenuti nell’art. 9-</w:t>
      </w:r>
      <w:r w:rsidR="00D00065" w:rsidRPr="00D00065">
        <w:rPr>
          <w:rFonts w:ascii="Times New Roman" w:hAnsi="Times New Roman" w:cs="Times New Roman"/>
          <w:i/>
        </w:rPr>
        <w:t>bis</w:t>
      </w:r>
      <w:r w:rsidR="00D00065">
        <w:rPr>
          <w:rFonts w:ascii="Times New Roman" w:hAnsi="Times New Roman" w:cs="Times New Roman"/>
        </w:rPr>
        <w:t>, co. 2-</w:t>
      </w:r>
      <w:r w:rsidR="00D00065" w:rsidRPr="00D00065">
        <w:rPr>
          <w:rFonts w:ascii="Times New Roman" w:hAnsi="Times New Roman" w:cs="Times New Roman"/>
          <w:i/>
        </w:rPr>
        <w:t>sexies</w:t>
      </w:r>
      <w:r w:rsidR="00D00065">
        <w:rPr>
          <w:rFonts w:ascii="Times New Roman" w:hAnsi="Times New Roman" w:cs="Times New Roman"/>
        </w:rPr>
        <w:t xml:space="preserve">, del decreto-legge 1° ottobre 1996, n. 510, convertito in legge 28 novembre 1996, n. 608 (introdotto dal decreto-legge 30 aprile 2026, n. 62, e convertito in legge con modificazioni dalla legge 25 giugno 2026, n. 112). </w:t>
      </w:r>
    </w:p>
    <w:p w:rsidR="00D00065" w:rsidRDefault="00D00065" w:rsidP="006316A8">
      <w:pPr>
        <w:autoSpaceDE w:val="0"/>
        <w:autoSpaceDN w:val="0"/>
        <w:adjustRightInd w:val="0"/>
        <w:spacing w:after="0" w:line="276" w:lineRule="auto"/>
        <w:ind w:firstLine="357"/>
        <w:jc w:val="both"/>
        <w:rPr>
          <w:rFonts w:ascii="Times New Roman" w:hAnsi="Times New Roman" w:cs="Times New Roman"/>
          <w:sz w:val="24"/>
          <w:szCs w:val="24"/>
        </w:rPr>
      </w:pPr>
      <w:r w:rsidRPr="006316A8">
        <w:rPr>
          <w:rFonts w:ascii="Times New Roman" w:hAnsi="Times New Roman" w:cs="Times New Roman"/>
          <w:sz w:val="24"/>
          <w:szCs w:val="24"/>
        </w:rPr>
        <w:t>Lascia perplessi l’utilizzazione di indicatori introdotti dal legislatore al dichiarato “</w:t>
      </w:r>
      <w:r w:rsidRPr="006316A8">
        <w:rPr>
          <w:rStyle w:val="arttextincomma"/>
          <w:rFonts w:ascii="Times New Roman" w:hAnsi="Times New Roman" w:cs="Times New Roman"/>
          <w:sz w:val="24"/>
          <w:szCs w:val="24"/>
        </w:rPr>
        <w:t xml:space="preserve">fine di contrastare il fenomeno del lavoro sommerso e di assicurare il rispetto della normativa sulla sicurezza sul lavoro”, che sono </w:t>
      </w:r>
      <w:r w:rsidR="007E0F6C" w:rsidRPr="006316A8">
        <w:rPr>
          <w:rStyle w:val="arttextincomma"/>
          <w:rFonts w:ascii="Times New Roman" w:hAnsi="Times New Roman" w:cs="Times New Roman"/>
          <w:sz w:val="24"/>
          <w:szCs w:val="24"/>
        </w:rPr>
        <w:t>finalità</w:t>
      </w:r>
      <w:r w:rsidRPr="006316A8">
        <w:rPr>
          <w:rStyle w:val="arttextincomma"/>
          <w:rFonts w:ascii="Times New Roman" w:hAnsi="Times New Roman" w:cs="Times New Roman"/>
          <w:sz w:val="24"/>
          <w:szCs w:val="24"/>
        </w:rPr>
        <w:t xml:space="preserve"> del tutto </w:t>
      </w:r>
      <w:r w:rsidR="007E0F6C" w:rsidRPr="006316A8">
        <w:rPr>
          <w:rStyle w:val="arttextincomma"/>
          <w:rFonts w:ascii="Times New Roman" w:hAnsi="Times New Roman" w:cs="Times New Roman"/>
          <w:sz w:val="24"/>
          <w:szCs w:val="24"/>
        </w:rPr>
        <w:t>estranee</w:t>
      </w:r>
      <w:r w:rsidRPr="006316A8">
        <w:rPr>
          <w:rStyle w:val="arttextincomma"/>
          <w:rFonts w:ascii="Times New Roman" w:hAnsi="Times New Roman" w:cs="Times New Roman"/>
          <w:sz w:val="24"/>
          <w:szCs w:val="24"/>
        </w:rPr>
        <w:t xml:space="preserve"> alla </w:t>
      </w:r>
      <w:r w:rsidR="007E0F6C" w:rsidRPr="006316A8">
        <w:rPr>
          <w:rStyle w:val="arttextincomma"/>
          <w:rFonts w:ascii="Times New Roman" w:hAnsi="Times New Roman" w:cs="Times New Roman"/>
          <w:sz w:val="24"/>
          <w:szCs w:val="24"/>
        </w:rPr>
        <w:t>periodica</w:t>
      </w:r>
      <w:r w:rsidRPr="006316A8">
        <w:rPr>
          <w:rStyle w:val="arttextincomma"/>
          <w:rFonts w:ascii="Times New Roman" w:hAnsi="Times New Roman" w:cs="Times New Roman"/>
          <w:sz w:val="24"/>
          <w:szCs w:val="24"/>
        </w:rPr>
        <w:t xml:space="preserve"> valutazione d’impatto delle decisioni individuali attraverso sistemi automatizzati</w:t>
      </w:r>
      <w:r w:rsidR="007E0F6C" w:rsidRPr="006316A8">
        <w:rPr>
          <w:rStyle w:val="arttextincomma"/>
          <w:rFonts w:ascii="Times New Roman" w:hAnsi="Times New Roman" w:cs="Times New Roman"/>
          <w:sz w:val="24"/>
          <w:szCs w:val="24"/>
        </w:rPr>
        <w:t xml:space="preserve">, per il differente scopo della valutazione d’impatto delle decisioni individuali. </w:t>
      </w:r>
      <w:r w:rsidR="006316A8" w:rsidRPr="006316A8">
        <w:rPr>
          <w:rStyle w:val="arttextincomma"/>
          <w:rFonts w:ascii="Times New Roman" w:hAnsi="Times New Roman" w:cs="Times New Roman"/>
          <w:sz w:val="24"/>
          <w:szCs w:val="24"/>
        </w:rPr>
        <w:t>Meglio sarebbe cancellare questo riferimento, riformulando l’art. 9, co. 1, in questa maniera: “</w:t>
      </w:r>
      <w:r w:rsidR="006316A8" w:rsidRPr="006316A8">
        <w:rPr>
          <w:rFonts w:ascii="Times New Roman" w:hAnsi="Times New Roman" w:cs="Times New Roman"/>
          <w:i/>
          <w:sz w:val="24"/>
          <w:szCs w:val="24"/>
        </w:rPr>
        <w:t xml:space="preserve">1. Le piattaforme di lavoro digitali sorvegliano ed effettuano, con cadenza almeno biennale e con la partecipazione dei rappresentanti di cui all’articolo 3, comma 1, lettere </w:t>
      </w:r>
      <w:r w:rsidR="006316A8" w:rsidRPr="006316A8">
        <w:rPr>
          <w:rFonts w:ascii="Times New Roman" w:hAnsi="Times New Roman" w:cs="Times New Roman"/>
          <w:i/>
          <w:iCs/>
          <w:sz w:val="24"/>
          <w:szCs w:val="24"/>
        </w:rPr>
        <w:t>f</w:t>
      </w:r>
      <w:r w:rsidR="006316A8" w:rsidRPr="006316A8">
        <w:rPr>
          <w:rFonts w:ascii="Times New Roman" w:hAnsi="Times New Roman" w:cs="Times New Roman"/>
          <w:i/>
          <w:sz w:val="24"/>
          <w:szCs w:val="24"/>
        </w:rPr>
        <w:t xml:space="preserve">) e </w:t>
      </w:r>
      <w:r w:rsidR="006316A8" w:rsidRPr="006316A8">
        <w:rPr>
          <w:rFonts w:ascii="Times New Roman" w:hAnsi="Times New Roman" w:cs="Times New Roman"/>
          <w:i/>
          <w:iCs/>
          <w:sz w:val="24"/>
          <w:szCs w:val="24"/>
        </w:rPr>
        <w:t>g</w:t>
      </w:r>
      <w:r w:rsidR="006316A8" w:rsidRPr="006316A8">
        <w:rPr>
          <w:rFonts w:ascii="Times New Roman" w:hAnsi="Times New Roman" w:cs="Times New Roman"/>
          <w:i/>
          <w:sz w:val="24"/>
          <w:szCs w:val="24"/>
        </w:rPr>
        <w:t>), la valutazione dell’impatto delle decisioni individuali adottate o supportate da sistemi di monitoraggio automatizzati e da sistemi decisionali automatizzati sulle persone che svolgono un lavoro mediante piattaforme digitali. Tale valutazione include, ove possibile, anche le decisioni sulle condizioni di lavoro e sulla parità di trattamento applicate a tali soggetti</w:t>
      </w:r>
      <w:r w:rsidR="006316A8" w:rsidRPr="006316A8">
        <w:rPr>
          <w:rFonts w:ascii="Times New Roman" w:hAnsi="Times New Roman" w:cs="Times New Roman"/>
          <w:sz w:val="24"/>
          <w:szCs w:val="24"/>
        </w:rPr>
        <w:t>”</w:t>
      </w:r>
      <w:r w:rsidR="006316A8">
        <w:rPr>
          <w:rFonts w:ascii="Times New Roman" w:hAnsi="Times New Roman" w:cs="Times New Roman"/>
          <w:sz w:val="24"/>
          <w:szCs w:val="24"/>
        </w:rPr>
        <w:t>.</w:t>
      </w:r>
    </w:p>
    <w:p w:rsidR="009F67F5" w:rsidRDefault="009F67F5" w:rsidP="00554D2D">
      <w:pPr>
        <w:autoSpaceDE w:val="0"/>
        <w:autoSpaceDN w:val="0"/>
        <w:adjustRightInd w:val="0"/>
        <w:spacing w:after="0" w:line="276" w:lineRule="auto"/>
        <w:ind w:firstLine="357"/>
        <w:jc w:val="both"/>
        <w:rPr>
          <w:rFonts w:ascii="Times New Roman" w:hAnsi="Times New Roman" w:cs="Times New Roman"/>
          <w:sz w:val="24"/>
          <w:szCs w:val="24"/>
        </w:rPr>
      </w:pPr>
      <w:r w:rsidRPr="009F67F5">
        <w:rPr>
          <w:rFonts w:ascii="Times New Roman" w:hAnsi="Times New Roman" w:cs="Times New Roman"/>
          <w:sz w:val="24"/>
          <w:szCs w:val="24"/>
        </w:rPr>
        <w:t>Per quanto riguarda invece l’art. 9, co. 4, primo periodo, dello schema del decreto legislativo contiene la previsione per la quale “</w:t>
      </w:r>
      <w:r>
        <w:rPr>
          <w:rFonts w:ascii="Times New Roman" w:hAnsi="Times New Roman" w:cs="Times New Roman"/>
          <w:sz w:val="24"/>
          <w:szCs w:val="24"/>
        </w:rPr>
        <w:t>l</w:t>
      </w:r>
      <w:r w:rsidRPr="009F67F5">
        <w:rPr>
          <w:rFonts w:ascii="Times New Roman" w:hAnsi="Times New Roman" w:cs="Times New Roman"/>
          <w:sz w:val="24"/>
          <w:szCs w:val="24"/>
        </w:rPr>
        <w:t>e persone incaricate di svolgere le funzioni di cui al comma 2 possono adire l’autorità giudiziaria</w:t>
      </w:r>
      <w:r>
        <w:rPr>
          <w:rFonts w:ascii="Times New Roman" w:hAnsi="Times New Roman" w:cs="Times New Roman"/>
          <w:sz w:val="24"/>
          <w:szCs w:val="24"/>
        </w:rPr>
        <w:t xml:space="preserve"> </w:t>
      </w:r>
      <w:r w:rsidRPr="009F67F5">
        <w:rPr>
          <w:rFonts w:ascii="Times New Roman" w:hAnsi="Times New Roman" w:cs="Times New Roman"/>
          <w:sz w:val="24"/>
          <w:szCs w:val="24"/>
        </w:rPr>
        <w:t>e le altre autorità amministrative competenti in sede stragiudiziale per la tutela avverso il</w:t>
      </w:r>
      <w:r w:rsidR="0030405E">
        <w:rPr>
          <w:rFonts w:ascii="Times New Roman" w:hAnsi="Times New Roman" w:cs="Times New Roman"/>
          <w:sz w:val="24"/>
          <w:szCs w:val="24"/>
        </w:rPr>
        <w:t xml:space="preserve"> </w:t>
      </w:r>
      <w:r w:rsidRPr="009F67F5">
        <w:rPr>
          <w:rFonts w:ascii="Times New Roman" w:hAnsi="Times New Roman" w:cs="Times New Roman"/>
          <w:sz w:val="24"/>
          <w:szCs w:val="24"/>
        </w:rPr>
        <w:t>licenziamento o altre misure equivalenti, provvedimenti disciplinari o altri trattamenti pregiudizievoli</w:t>
      </w:r>
      <w:r w:rsidR="0030405E">
        <w:rPr>
          <w:rFonts w:ascii="Times New Roman" w:hAnsi="Times New Roman" w:cs="Times New Roman"/>
          <w:sz w:val="24"/>
          <w:szCs w:val="24"/>
        </w:rPr>
        <w:t xml:space="preserve"> </w:t>
      </w:r>
      <w:r w:rsidRPr="009F67F5">
        <w:rPr>
          <w:rFonts w:ascii="Times New Roman" w:hAnsi="Times New Roman" w:cs="Times New Roman"/>
          <w:sz w:val="24"/>
          <w:szCs w:val="24"/>
        </w:rPr>
        <w:t>eventualmente adottati in conseguenza dell’esercizio delle loro funzioni dalle piattaforme digitali</w:t>
      </w:r>
      <w:r w:rsidR="0030405E">
        <w:rPr>
          <w:rFonts w:ascii="Times New Roman" w:hAnsi="Times New Roman" w:cs="Times New Roman"/>
          <w:sz w:val="24"/>
          <w:szCs w:val="24"/>
        </w:rPr>
        <w:t>”, che provoca qualche dubbio: chiunque può adire l’autorità giudiziaria (art. 24 della Costituzione), quindi l’attuale formulazione contiene una disposizione senza precetto, che nulla aggiunge a quanto già esiste nell’ordinamento. Meglio sarebbe riformulare il periodo (fermo restando il secondo periodo che prevede la sanazione amministrativa) in questa maniera: “</w:t>
      </w:r>
      <w:r w:rsidR="0030405E" w:rsidRPr="0030405E">
        <w:rPr>
          <w:rFonts w:ascii="Times New Roman" w:hAnsi="Times New Roman" w:cs="Times New Roman"/>
          <w:b/>
          <w:i/>
          <w:sz w:val="24"/>
          <w:szCs w:val="24"/>
        </w:rPr>
        <w:t>il licenziamento o altre misure equivalenti, provvedimenti disciplinari o altri trattamenti pregiudizievoli eventualmente adottati dalle piattaforme digitali nei confronti delle persone incaricate di svolgere le funzioni di cui al comma 2 in conseguenza dell’esercizio delle loro funzioni sono nulli</w:t>
      </w:r>
      <w:r w:rsidR="0030405E">
        <w:rPr>
          <w:rFonts w:ascii="Times New Roman" w:hAnsi="Times New Roman" w:cs="Times New Roman"/>
          <w:sz w:val="24"/>
          <w:szCs w:val="24"/>
        </w:rPr>
        <w:t>”, aggiungendo quindi una effettiva tutela sul piano civilistico del contratto di lavoro alla successiva sanzione amministrativa.</w:t>
      </w:r>
    </w:p>
    <w:p w:rsidR="0030405E" w:rsidRPr="00493821" w:rsidRDefault="0030405E" w:rsidP="00554D2D">
      <w:pPr>
        <w:autoSpaceDE w:val="0"/>
        <w:autoSpaceDN w:val="0"/>
        <w:adjustRightInd w:val="0"/>
        <w:spacing w:after="0" w:line="276" w:lineRule="auto"/>
        <w:ind w:firstLine="357"/>
        <w:jc w:val="both"/>
        <w:rPr>
          <w:rFonts w:ascii="Times New Roman" w:hAnsi="Times New Roman" w:cs="Times New Roman"/>
          <w:sz w:val="24"/>
          <w:szCs w:val="24"/>
        </w:rPr>
      </w:pPr>
      <w:r w:rsidRPr="00493821">
        <w:rPr>
          <w:rFonts w:ascii="Times New Roman" w:hAnsi="Times New Roman" w:cs="Times New Roman"/>
          <w:sz w:val="24"/>
          <w:szCs w:val="24"/>
        </w:rPr>
        <w:t>L’</w:t>
      </w:r>
      <w:r w:rsidRPr="00493821">
        <w:rPr>
          <w:rFonts w:ascii="Times New Roman" w:hAnsi="Times New Roman" w:cs="Times New Roman"/>
          <w:b/>
          <w:sz w:val="24"/>
          <w:szCs w:val="24"/>
        </w:rPr>
        <w:t xml:space="preserve">art. 10 </w:t>
      </w:r>
      <w:r w:rsidRPr="00493821">
        <w:rPr>
          <w:rFonts w:ascii="Times New Roman" w:hAnsi="Times New Roman" w:cs="Times New Roman"/>
          <w:sz w:val="24"/>
          <w:szCs w:val="24"/>
        </w:rPr>
        <w:t>sul diritto al riesame umano, attuando le previsioni dell’art. 11 della Direttiva, dispone fra l’altro che “</w:t>
      </w:r>
      <w:r w:rsidR="00493821" w:rsidRPr="00493821">
        <w:rPr>
          <w:rFonts w:ascii="Times New Roman" w:hAnsi="Times New Roman" w:cs="Times New Roman"/>
          <w:sz w:val="24"/>
          <w:szCs w:val="24"/>
        </w:rPr>
        <w:t>4. In caso di decisioni adottate o supportate da un sistema decisionale automatizzato che comportino</w:t>
      </w:r>
      <w:r w:rsidR="00493821">
        <w:rPr>
          <w:rFonts w:ascii="Times New Roman" w:hAnsi="Times New Roman" w:cs="Times New Roman"/>
          <w:sz w:val="24"/>
          <w:szCs w:val="24"/>
        </w:rPr>
        <w:t xml:space="preserve"> </w:t>
      </w:r>
      <w:r w:rsidR="00493821" w:rsidRPr="00493821">
        <w:rPr>
          <w:rFonts w:ascii="Times New Roman" w:hAnsi="Times New Roman" w:cs="Times New Roman"/>
          <w:sz w:val="24"/>
          <w:szCs w:val="24"/>
        </w:rPr>
        <w:t>la limitazione, la sospensione o la chiusura dell’account della persona che svolge un lavoro mediante</w:t>
      </w:r>
      <w:r w:rsidR="00493821">
        <w:rPr>
          <w:rFonts w:ascii="Times New Roman" w:hAnsi="Times New Roman" w:cs="Times New Roman"/>
          <w:sz w:val="24"/>
          <w:szCs w:val="24"/>
        </w:rPr>
        <w:t xml:space="preserve"> </w:t>
      </w:r>
      <w:r w:rsidR="00493821" w:rsidRPr="00493821">
        <w:rPr>
          <w:rFonts w:ascii="Times New Roman" w:hAnsi="Times New Roman" w:cs="Times New Roman"/>
          <w:sz w:val="24"/>
          <w:szCs w:val="24"/>
        </w:rPr>
        <w:t>piattaforme digitali, la mancata retribuzione del lavoro svolto ovvero che abbiano conseguenze sulla</w:t>
      </w:r>
      <w:r w:rsidR="00493821">
        <w:rPr>
          <w:rFonts w:ascii="Times New Roman" w:hAnsi="Times New Roman" w:cs="Times New Roman"/>
          <w:sz w:val="24"/>
          <w:szCs w:val="24"/>
        </w:rPr>
        <w:t xml:space="preserve"> </w:t>
      </w:r>
      <w:r w:rsidR="00493821" w:rsidRPr="00493821">
        <w:rPr>
          <w:rFonts w:ascii="Times New Roman" w:hAnsi="Times New Roman" w:cs="Times New Roman"/>
          <w:sz w:val="24"/>
          <w:szCs w:val="24"/>
        </w:rPr>
        <w:t>sua situazione contrattuale o effetti equivalenti sugli aspetti essenziali del rapporto di lavoro o di altro</w:t>
      </w:r>
      <w:r w:rsidR="00493821">
        <w:rPr>
          <w:rFonts w:ascii="Times New Roman" w:hAnsi="Times New Roman" w:cs="Times New Roman"/>
          <w:sz w:val="24"/>
          <w:szCs w:val="24"/>
        </w:rPr>
        <w:t xml:space="preserve"> </w:t>
      </w:r>
      <w:r w:rsidR="00493821" w:rsidRPr="00493821">
        <w:rPr>
          <w:rFonts w:ascii="Times New Roman" w:hAnsi="Times New Roman" w:cs="Times New Roman"/>
          <w:sz w:val="24"/>
          <w:szCs w:val="24"/>
        </w:rPr>
        <w:t>rapporto contrattuale, la piattaforma di lavoro digitale o l’intermediario che gestisce il sistema</w:t>
      </w:r>
      <w:r w:rsidR="00493821">
        <w:rPr>
          <w:rFonts w:ascii="Times New Roman" w:hAnsi="Times New Roman" w:cs="Times New Roman"/>
          <w:sz w:val="24"/>
          <w:szCs w:val="24"/>
        </w:rPr>
        <w:t xml:space="preserve"> </w:t>
      </w:r>
      <w:r w:rsidR="00493821" w:rsidRPr="00493821">
        <w:rPr>
          <w:rFonts w:ascii="Times New Roman" w:hAnsi="Times New Roman" w:cs="Times New Roman"/>
          <w:sz w:val="24"/>
          <w:szCs w:val="24"/>
        </w:rPr>
        <w:t>decisionale, tramite il referente designato, è tenuto a fornire una motivazione scritta alla persona</w:t>
      </w:r>
      <w:r w:rsidR="00493821">
        <w:rPr>
          <w:rFonts w:ascii="Times New Roman" w:hAnsi="Times New Roman" w:cs="Times New Roman"/>
          <w:sz w:val="24"/>
          <w:szCs w:val="24"/>
        </w:rPr>
        <w:t xml:space="preserve"> </w:t>
      </w:r>
      <w:r w:rsidR="00493821" w:rsidRPr="00493821">
        <w:rPr>
          <w:rFonts w:ascii="Times New Roman" w:hAnsi="Times New Roman" w:cs="Times New Roman"/>
          <w:sz w:val="24"/>
          <w:szCs w:val="24"/>
        </w:rPr>
        <w:t>interessata entro il giorno in cui la decisione acquista efficacia.</w:t>
      </w:r>
      <w:r w:rsidR="00493821">
        <w:rPr>
          <w:rFonts w:ascii="Times New Roman" w:hAnsi="Times New Roman" w:cs="Times New Roman"/>
          <w:sz w:val="24"/>
          <w:szCs w:val="24"/>
        </w:rPr>
        <w:t xml:space="preserve"> </w:t>
      </w:r>
      <w:r w:rsidR="00493821" w:rsidRPr="00493821">
        <w:rPr>
          <w:rFonts w:ascii="Times New Roman" w:hAnsi="Times New Roman" w:cs="Times New Roman"/>
          <w:sz w:val="24"/>
          <w:szCs w:val="24"/>
        </w:rPr>
        <w:t>5. Le persone che svolgono un lavoro mediante piattaforme digitali e i loro rappresentanti che agiscono per loro conto hanno il diritto di richiedere alla piattaforma il riesame delle decisioni di cui ai commi 1, 2, 3 e 4. A seguito di tale richiesta, la piattaforma è tenuta a fornire una risposta scritta</w:t>
      </w:r>
      <w:r w:rsidR="00493821">
        <w:rPr>
          <w:rFonts w:ascii="Times New Roman" w:hAnsi="Times New Roman" w:cs="Times New Roman"/>
          <w:sz w:val="24"/>
          <w:szCs w:val="24"/>
        </w:rPr>
        <w:t xml:space="preserve"> </w:t>
      </w:r>
      <w:r w:rsidR="00493821" w:rsidRPr="00493821">
        <w:rPr>
          <w:rFonts w:ascii="Times New Roman" w:hAnsi="Times New Roman" w:cs="Times New Roman"/>
          <w:sz w:val="24"/>
          <w:szCs w:val="24"/>
        </w:rPr>
        <w:t>sufficientemente precisa e adeguatamente motivata, anche in formato elettronico, da rendere entro</w:t>
      </w:r>
      <w:r w:rsidR="00493821">
        <w:rPr>
          <w:rFonts w:ascii="Times New Roman" w:hAnsi="Times New Roman" w:cs="Times New Roman"/>
          <w:sz w:val="24"/>
          <w:szCs w:val="24"/>
        </w:rPr>
        <w:t xml:space="preserve"> </w:t>
      </w:r>
      <w:r w:rsidR="00493821" w:rsidRPr="00493821">
        <w:rPr>
          <w:rFonts w:ascii="Times New Roman" w:hAnsi="Times New Roman" w:cs="Times New Roman"/>
          <w:sz w:val="24"/>
          <w:szCs w:val="24"/>
        </w:rPr>
        <w:t>quattordici giorni dal ricevimento della richiesta</w:t>
      </w:r>
      <w:r w:rsidR="00493821">
        <w:rPr>
          <w:rFonts w:ascii="Times New Roman" w:hAnsi="Times New Roman" w:cs="Times New Roman"/>
          <w:sz w:val="24"/>
          <w:szCs w:val="24"/>
        </w:rPr>
        <w:t>”</w:t>
      </w:r>
      <w:r w:rsidR="00493821" w:rsidRPr="00493821">
        <w:rPr>
          <w:rFonts w:ascii="Times New Roman" w:hAnsi="Times New Roman" w:cs="Times New Roman"/>
          <w:sz w:val="24"/>
          <w:szCs w:val="24"/>
        </w:rPr>
        <w:t>.</w:t>
      </w:r>
      <w:r w:rsidR="00493821">
        <w:rPr>
          <w:rFonts w:ascii="Times New Roman" w:hAnsi="Times New Roman" w:cs="Times New Roman"/>
          <w:sz w:val="24"/>
          <w:szCs w:val="24"/>
        </w:rPr>
        <w:t xml:space="preserve"> Entrambi i commi ora riportati dell’0art. 10 riportano correttamente i termini massimi per ottenere risposta indicati dalla Direttiva, ma – per ragioni non a me comprensibili – hanno omesso in entrambi i casi le parole “senza indebito ritardo” nel caso della decisione di risolvere o non pagare la retribuzione (</w:t>
      </w:r>
      <w:r w:rsidR="00554D2D">
        <w:rPr>
          <w:rFonts w:ascii="Times New Roman" w:hAnsi="Times New Roman" w:cs="Times New Roman"/>
          <w:sz w:val="24"/>
          <w:szCs w:val="24"/>
        </w:rPr>
        <w:t>a</w:t>
      </w:r>
      <w:r w:rsidR="00493821">
        <w:rPr>
          <w:rFonts w:ascii="Times New Roman" w:hAnsi="Times New Roman" w:cs="Times New Roman"/>
          <w:sz w:val="24"/>
          <w:szCs w:val="24"/>
        </w:rPr>
        <w:t>rt. 11, par. 1, secondo periodo della Direttiva) o che sia richiesto il riesame delle decisioni dei sistemi automatizzati</w:t>
      </w:r>
      <w:r w:rsidR="00554D2D">
        <w:rPr>
          <w:rFonts w:ascii="Times New Roman" w:hAnsi="Times New Roman" w:cs="Times New Roman"/>
          <w:sz w:val="24"/>
          <w:szCs w:val="24"/>
        </w:rPr>
        <w:t xml:space="preserve"> (art. 11, par. 2 della Direttiva)</w:t>
      </w:r>
      <w:r w:rsidR="00493821">
        <w:rPr>
          <w:rFonts w:ascii="Times New Roman" w:hAnsi="Times New Roman" w:cs="Times New Roman"/>
          <w:sz w:val="24"/>
          <w:szCs w:val="24"/>
        </w:rPr>
        <w:t>. Per attuare correttamente la Direttiva ed evitare che la pre</w:t>
      </w:r>
      <w:r w:rsidR="00554D2D">
        <w:rPr>
          <w:rFonts w:ascii="Times New Roman" w:hAnsi="Times New Roman" w:cs="Times New Roman"/>
          <w:sz w:val="24"/>
          <w:szCs w:val="24"/>
        </w:rPr>
        <w:t xml:space="preserve">senza del solo termine massimo </w:t>
      </w:r>
      <w:r w:rsidR="00493821">
        <w:rPr>
          <w:rFonts w:ascii="Times New Roman" w:hAnsi="Times New Roman" w:cs="Times New Roman"/>
          <w:sz w:val="24"/>
          <w:szCs w:val="24"/>
        </w:rPr>
        <w:t xml:space="preserve">consenta dilazioni indebite, in entrambi i casi quelle parole andrebbero reinserite, suonando così </w:t>
      </w:r>
      <w:r w:rsidR="00554D2D">
        <w:rPr>
          <w:rFonts w:ascii="Times New Roman" w:hAnsi="Times New Roman" w:cs="Times New Roman"/>
          <w:sz w:val="24"/>
          <w:szCs w:val="24"/>
        </w:rPr>
        <w:t>le disposizioni da contenere nel decreto legislativo: “</w:t>
      </w:r>
      <w:r w:rsidR="00554D2D" w:rsidRPr="00493821">
        <w:rPr>
          <w:rFonts w:ascii="Times New Roman" w:hAnsi="Times New Roman" w:cs="Times New Roman"/>
          <w:sz w:val="24"/>
          <w:szCs w:val="24"/>
        </w:rPr>
        <w:t>4. In caso di decisioni adottate o supportate da un sistema decisionale automatizzato che comportino</w:t>
      </w:r>
      <w:r w:rsidR="00554D2D">
        <w:rPr>
          <w:rFonts w:ascii="Times New Roman" w:hAnsi="Times New Roman" w:cs="Times New Roman"/>
          <w:sz w:val="24"/>
          <w:szCs w:val="24"/>
        </w:rPr>
        <w:t xml:space="preserve"> </w:t>
      </w:r>
      <w:r w:rsidR="00554D2D" w:rsidRPr="00493821">
        <w:rPr>
          <w:rFonts w:ascii="Times New Roman" w:hAnsi="Times New Roman" w:cs="Times New Roman"/>
          <w:sz w:val="24"/>
          <w:szCs w:val="24"/>
        </w:rPr>
        <w:t>la limitazione, la sospensione o la chiusura dell’account della persona che svolge un lavoro mediante</w:t>
      </w:r>
      <w:r w:rsidR="00554D2D">
        <w:rPr>
          <w:rFonts w:ascii="Times New Roman" w:hAnsi="Times New Roman" w:cs="Times New Roman"/>
          <w:sz w:val="24"/>
          <w:szCs w:val="24"/>
        </w:rPr>
        <w:t xml:space="preserve"> </w:t>
      </w:r>
      <w:r w:rsidR="00554D2D" w:rsidRPr="00493821">
        <w:rPr>
          <w:rFonts w:ascii="Times New Roman" w:hAnsi="Times New Roman" w:cs="Times New Roman"/>
          <w:sz w:val="24"/>
          <w:szCs w:val="24"/>
        </w:rPr>
        <w:t>piattaforme digitali, la mancata retribuzione del lavoro svolto ovvero che abbiano conseguenze sulla</w:t>
      </w:r>
      <w:r w:rsidR="00554D2D">
        <w:rPr>
          <w:rFonts w:ascii="Times New Roman" w:hAnsi="Times New Roman" w:cs="Times New Roman"/>
          <w:sz w:val="24"/>
          <w:szCs w:val="24"/>
        </w:rPr>
        <w:t xml:space="preserve"> </w:t>
      </w:r>
      <w:r w:rsidR="00554D2D" w:rsidRPr="00493821">
        <w:rPr>
          <w:rFonts w:ascii="Times New Roman" w:hAnsi="Times New Roman" w:cs="Times New Roman"/>
          <w:sz w:val="24"/>
          <w:szCs w:val="24"/>
        </w:rPr>
        <w:t>sua situazione contrattuale o effetti equivalenti sugli aspetti essenziali del rapporto di lavoro o di altro</w:t>
      </w:r>
      <w:r w:rsidR="00554D2D">
        <w:rPr>
          <w:rFonts w:ascii="Times New Roman" w:hAnsi="Times New Roman" w:cs="Times New Roman"/>
          <w:sz w:val="24"/>
          <w:szCs w:val="24"/>
        </w:rPr>
        <w:t xml:space="preserve"> </w:t>
      </w:r>
      <w:r w:rsidR="00554D2D" w:rsidRPr="00493821">
        <w:rPr>
          <w:rFonts w:ascii="Times New Roman" w:hAnsi="Times New Roman" w:cs="Times New Roman"/>
          <w:sz w:val="24"/>
          <w:szCs w:val="24"/>
        </w:rPr>
        <w:t>rapporto contrattuale, la piattaforma di lavoro digitale o l’intermediario che gestisce il sistema</w:t>
      </w:r>
      <w:r w:rsidR="00554D2D">
        <w:rPr>
          <w:rFonts w:ascii="Times New Roman" w:hAnsi="Times New Roman" w:cs="Times New Roman"/>
          <w:sz w:val="24"/>
          <w:szCs w:val="24"/>
        </w:rPr>
        <w:t xml:space="preserve"> </w:t>
      </w:r>
      <w:r w:rsidR="00554D2D" w:rsidRPr="00493821">
        <w:rPr>
          <w:rFonts w:ascii="Times New Roman" w:hAnsi="Times New Roman" w:cs="Times New Roman"/>
          <w:sz w:val="24"/>
          <w:szCs w:val="24"/>
        </w:rPr>
        <w:t>decisionale, tramite il referente designato, è tenuto a fornire una motivazione scritta alla persona</w:t>
      </w:r>
      <w:r w:rsidR="00554D2D">
        <w:rPr>
          <w:rFonts w:ascii="Times New Roman" w:hAnsi="Times New Roman" w:cs="Times New Roman"/>
          <w:sz w:val="24"/>
          <w:szCs w:val="24"/>
        </w:rPr>
        <w:t xml:space="preserve"> </w:t>
      </w:r>
      <w:r w:rsidR="00554D2D" w:rsidRPr="00493821">
        <w:rPr>
          <w:rFonts w:ascii="Times New Roman" w:hAnsi="Times New Roman" w:cs="Times New Roman"/>
          <w:sz w:val="24"/>
          <w:szCs w:val="24"/>
        </w:rPr>
        <w:t xml:space="preserve">interessata </w:t>
      </w:r>
      <w:r w:rsidR="00554D2D" w:rsidRPr="00554D2D">
        <w:rPr>
          <w:rFonts w:ascii="Times New Roman" w:hAnsi="Times New Roman" w:cs="Times New Roman"/>
          <w:b/>
          <w:i/>
          <w:sz w:val="24"/>
          <w:szCs w:val="24"/>
        </w:rPr>
        <w:t>senza indebito ritardo e al più tardi</w:t>
      </w:r>
      <w:r w:rsidR="00554D2D">
        <w:rPr>
          <w:rFonts w:ascii="Times New Roman" w:hAnsi="Times New Roman" w:cs="Times New Roman"/>
          <w:sz w:val="24"/>
          <w:szCs w:val="24"/>
        </w:rPr>
        <w:t xml:space="preserve"> </w:t>
      </w:r>
      <w:r w:rsidR="00554D2D" w:rsidRPr="00493821">
        <w:rPr>
          <w:rFonts w:ascii="Times New Roman" w:hAnsi="Times New Roman" w:cs="Times New Roman"/>
          <w:sz w:val="24"/>
          <w:szCs w:val="24"/>
        </w:rPr>
        <w:t>entro il giorno in cui la decisione acquista efficacia.</w:t>
      </w:r>
      <w:r w:rsidR="00554D2D">
        <w:rPr>
          <w:rFonts w:ascii="Times New Roman" w:hAnsi="Times New Roman" w:cs="Times New Roman"/>
          <w:sz w:val="24"/>
          <w:szCs w:val="24"/>
        </w:rPr>
        <w:t xml:space="preserve"> </w:t>
      </w:r>
      <w:r w:rsidR="00554D2D" w:rsidRPr="00493821">
        <w:rPr>
          <w:rFonts w:ascii="Times New Roman" w:hAnsi="Times New Roman" w:cs="Times New Roman"/>
          <w:sz w:val="24"/>
          <w:szCs w:val="24"/>
        </w:rPr>
        <w:t>5. Le persone che svolgono un lavoro mediante piattaforme digitali e i loro rappresentanti che agiscono per loro conto hanno il diritto di richiedere alla piattaforma il riesame delle decisioni di cui ai commi 1, 2, 3 e 4. A seguito di tale richiesta, la piattaforma è tenuta a fornire una risposta scritta</w:t>
      </w:r>
      <w:r w:rsidR="00554D2D">
        <w:rPr>
          <w:rFonts w:ascii="Times New Roman" w:hAnsi="Times New Roman" w:cs="Times New Roman"/>
          <w:sz w:val="24"/>
          <w:szCs w:val="24"/>
        </w:rPr>
        <w:t xml:space="preserve"> </w:t>
      </w:r>
      <w:r w:rsidR="00554D2D" w:rsidRPr="00493821">
        <w:rPr>
          <w:rFonts w:ascii="Times New Roman" w:hAnsi="Times New Roman" w:cs="Times New Roman"/>
          <w:sz w:val="24"/>
          <w:szCs w:val="24"/>
        </w:rPr>
        <w:t xml:space="preserve">sufficientemente precisa e adeguatamente motivata, anche in formato elettronico, da rendere </w:t>
      </w:r>
      <w:r w:rsidR="00554D2D" w:rsidRPr="00554D2D">
        <w:rPr>
          <w:rFonts w:ascii="Times New Roman" w:hAnsi="Times New Roman" w:cs="Times New Roman"/>
          <w:b/>
          <w:i/>
          <w:sz w:val="24"/>
          <w:szCs w:val="24"/>
        </w:rPr>
        <w:t>senza indebito ritardo</w:t>
      </w:r>
      <w:r w:rsidR="00554D2D">
        <w:rPr>
          <w:rFonts w:ascii="Times New Roman" w:hAnsi="Times New Roman" w:cs="Times New Roman"/>
          <w:sz w:val="24"/>
          <w:szCs w:val="24"/>
        </w:rPr>
        <w:t xml:space="preserve"> </w:t>
      </w:r>
      <w:r w:rsidR="00554D2D" w:rsidRPr="00554D2D">
        <w:rPr>
          <w:rFonts w:ascii="Times New Roman" w:hAnsi="Times New Roman" w:cs="Times New Roman"/>
          <w:b/>
          <w:i/>
          <w:sz w:val="24"/>
          <w:szCs w:val="24"/>
        </w:rPr>
        <w:t>e in ogni caso</w:t>
      </w:r>
      <w:r w:rsidR="00554D2D">
        <w:rPr>
          <w:rFonts w:ascii="Times New Roman" w:hAnsi="Times New Roman" w:cs="Times New Roman"/>
          <w:sz w:val="24"/>
          <w:szCs w:val="24"/>
        </w:rPr>
        <w:t xml:space="preserve"> </w:t>
      </w:r>
      <w:r w:rsidR="00554D2D" w:rsidRPr="00493821">
        <w:rPr>
          <w:rFonts w:ascii="Times New Roman" w:hAnsi="Times New Roman" w:cs="Times New Roman"/>
          <w:sz w:val="24"/>
          <w:szCs w:val="24"/>
        </w:rPr>
        <w:t>entro</w:t>
      </w:r>
      <w:r w:rsidR="00554D2D">
        <w:rPr>
          <w:rFonts w:ascii="Times New Roman" w:hAnsi="Times New Roman" w:cs="Times New Roman"/>
          <w:sz w:val="24"/>
          <w:szCs w:val="24"/>
        </w:rPr>
        <w:t xml:space="preserve"> </w:t>
      </w:r>
      <w:r w:rsidR="00554D2D" w:rsidRPr="00493821">
        <w:rPr>
          <w:rFonts w:ascii="Times New Roman" w:hAnsi="Times New Roman" w:cs="Times New Roman"/>
          <w:sz w:val="24"/>
          <w:szCs w:val="24"/>
        </w:rPr>
        <w:t>quattordici giorni dal ricevimento della richiesta</w:t>
      </w:r>
      <w:r w:rsidR="00554D2D">
        <w:rPr>
          <w:rFonts w:ascii="Times New Roman" w:hAnsi="Times New Roman" w:cs="Times New Roman"/>
          <w:sz w:val="24"/>
          <w:szCs w:val="24"/>
        </w:rPr>
        <w:t>”.</w:t>
      </w:r>
    </w:p>
    <w:p w:rsidR="001D6974" w:rsidRDefault="00554D2D" w:rsidP="002B7170">
      <w:pPr>
        <w:pStyle w:val="Paragrafoelenco"/>
        <w:numPr>
          <w:ilvl w:val="0"/>
          <w:numId w:val="1"/>
        </w:numPr>
        <w:autoSpaceDE w:val="0"/>
        <w:autoSpaceDN w:val="0"/>
        <w:adjustRightInd w:val="0"/>
        <w:spacing w:after="0" w:line="276" w:lineRule="auto"/>
        <w:ind w:left="0" w:firstLine="499"/>
        <w:jc w:val="both"/>
        <w:rPr>
          <w:rFonts w:ascii="Times New Roman" w:hAnsi="Times New Roman" w:cs="Times New Roman"/>
          <w:sz w:val="24"/>
          <w:szCs w:val="24"/>
        </w:rPr>
      </w:pPr>
      <w:r>
        <w:rPr>
          <w:rFonts w:ascii="Times New Roman" w:hAnsi="Times New Roman" w:cs="Times New Roman"/>
          <w:sz w:val="24"/>
          <w:szCs w:val="24"/>
        </w:rPr>
        <w:t xml:space="preserve"> Il Capo IV dello schema di decreto legislativo (</w:t>
      </w:r>
      <w:r w:rsidRPr="00ED0811">
        <w:rPr>
          <w:rFonts w:ascii="Times New Roman" w:hAnsi="Times New Roman" w:cs="Times New Roman"/>
          <w:b/>
          <w:sz w:val="24"/>
          <w:szCs w:val="24"/>
        </w:rPr>
        <w:t>artt. 11-13</w:t>
      </w:r>
      <w:r>
        <w:rPr>
          <w:rFonts w:ascii="Times New Roman" w:hAnsi="Times New Roman" w:cs="Times New Roman"/>
          <w:sz w:val="24"/>
          <w:szCs w:val="24"/>
        </w:rPr>
        <w:t xml:space="preserve">) è dedicato a salute e sicurezza, canali di segnalazione, informazione e consultazione dei lavoratori, trasponendo </w:t>
      </w:r>
      <w:r w:rsidR="002B7170">
        <w:rPr>
          <w:rFonts w:ascii="Times New Roman" w:hAnsi="Times New Roman" w:cs="Times New Roman"/>
          <w:sz w:val="24"/>
          <w:szCs w:val="24"/>
        </w:rPr>
        <w:t xml:space="preserve">abbastanza correttamente </w:t>
      </w:r>
      <w:r>
        <w:rPr>
          <w:rFonts w:ascii="Times New Roman" w:hAnsi="Times New Roman" w:cs="Times New Roman"/>
          <w:sz w:val="24"/>
          <w:szCs w:val="24"/>
        </w:rPr>
        <w:t xml:space="preserve">nel nostro ordinamento </w:t>
      </w:r>
      <w:r w:rsidR="002B7170">
        <w:rPr>
          <w:rFonts w:ascii="Times New Roman" w:hAnsi="Times New Roman" w:cs="Times New Roman"/>
          <w:sz w:val="24"/>
          <w:szCs w:val="24"/>
        </w:rPr>
        <w:t xml:space="preserve">gli articoli </w:t>
      </w:r>
      <w:r>
        <w:rPr>
          <w:rFonts w:ascii="Times New Roman" w:hAnsi="Times New Roman" w:cs="Times New Roman"/>
          <w:sz w:val="24"/>
          <w:szCs w:val="24"/>
        </w:rPr>
        <w:t>da 12 a 15 della Direttiva.</w:t>
      </w:r>
    </w:p>
    <w:p w:rsidR="002B7170" w:rsidRDefault="002B7170" w:rsidP="002B7170">
      <w:pPr>
        <w:pStyle w:val="Paragrafoelenco"/>
        <w:autoSpaceDE w:val="0"/>
        <w:autoSpaceDN w:val="0"/>
        <w:adjustRightInd w:val="0"/>
        <w:spacing w:after="0" w:line="276" w:lineRule="auto"/>
        <w:ind w:left="0" w:firstLine="499"/>
        <w:jc w:val="both"/>
        <w:rPr>
          <w:rFonts w:ascii="Times New Roman" w:hAnsi="Times New Roman" w:cs="Times New Roman"/>
          <w:sz w:val="24"/>
          <w:szCs w:val="24"/>
        </w:rPr>
      </w:pPr>
      <w:r>
        <w:rPr>
          <w:rFonts w:ascii="Times New Roman" w:hAnsi="Times New Roman" w:cs="Times New Roman"/>
          <w:sz w:val="24"/>
          <w:szCs w:val="24"/>
        </w:rPr>
        <w:t xml:space="preserve">Tuttavia, nell’art. 11, dedicato a salute e sicurezza, non compare alcun contenuto riferibile alle previsioni dell’art. 12, parr. 3 e 4, della Direttiva, che andrebbero invece anch’esse recepite. Su suggerisce al proposito di </w:t>
      </w:r>
      <w:r w:rsidRPr="002B7170">
        <w:rPr>
          <w:rFonts w:ascii="Times New Roman" w:hAnsi="Times New Roman" w:cs="Times New Roman"/>
          <w:b/>
          <w:i/>
          <w:sz w:val="24"/>
          <w:szCs w:val="24"/>
        </w:rPr>
        <w:t>aggiungere all’art. 11 un comma 2</w:t>
      </w:r>
      <w:r>
        <w:rPr>
          <w:rFonts w:ascii="Times New Roman" w:hAnsi="Times New Roman" w:cs="Times New Roman"/>
          <w:sz w:val="24"/>
          <w:szCs w:val="24"/>
        </w:rPr>
        <w:t xml:space="preserve"> così redatto: </w:t>
      </w:r>
      <w:r w:rsidRPr="002B7170">
        <w:rPr>
          <w:rFonts w:ascii="Times New Roman" w:hAnsi="Times New Roman" w:cs="Times New Roman"/>
          <w:sz w:val="24"/>
          <w:szCs w:val="24"/>
        </w:rPr>
        <w:t>“</w:t>
      </w:r>
      <w:r w:rsidRPr="002B7170">
        <w:rPr>
          <w:rFonts w:ascii="Times New Roman" w:hAnsi="Times New Roman" w:cs="Times New Roman"/>
          <w:b/>
          <w:i/>
          <w:sz w:val="24"/>
          <w:szCs w:val="24"/>
        </w:rPr>
        <w:t>Le piattaforme di lavoro digitali non utilizzano i sistemi di monitoraggio automatizzati o i sistemi decisionali automatizzati in alcun modo che metta indebitamente sotto pressione i lavoratori delle piattaforme digitali o ne metta altrimenti a rischio la sicurezza e la salute fisica e mentale</w:t>
      </w:r>
      <w:r w:rsidRPr="002B7170">
        <w:rPr>
          <w:rFonts w:ascii="Times New Roman" w:hAnsi="Times New Roman" w:cs="Times New Roman"/>
          <w:sz w:val="24"/>
          <w:szCs w:val="24"/>
        </w:rPr>
        <w:t xml:space="preserve">”, che è il contenuto della Direttiva (art. 11, par. 3) e che ha rilievo soprattutto perché, nel vietare di mettere “sotto pressione” i lavoratori delle piattaforme digitali prevede un’importante limitazione in tema di ritmi di lavoro; </w:t>
      </w:r>
      <w:r w:rsidRPr="002B7170">
        <w:rPr>
          <w:rFonts w:ascii="Times New Roman" w:hAnsi="Times New Roman" w:cs="Times New Roman"/>
          <w:b/>
          <w:i/>
          <w:sz w:val="24"/>
          <w:szCs w:val="24"/>
        </w:rPr>
        <w:t>e un comma 3</w:t>
      </w:r>
      <w:r w:rsidRPr="002B7170">
        <w:rPr>
          <w:rFonts w:ascii="Times New Roman" w:hAnsi="Times New Roman" w:cs="Times New Roman"/>
          <w:sz w:val="24"/>
          <w:szCs w:val="24"/>
        </w:rPr>
        <w:t xml:space="preserve"> così redatto: </w:t>
      </w:r>
      <w:r w:rsidRPr="002B7170">
        <w:rPr>
          <w:rFonts w:ascii="Times New Roman" w:hAnsi="Times New Roman" w:cs="Times New Roman"/>
          <w:b/>
          <w:i/>
          <w:sz w:val="24"/>
          <w:szCs w:val="24"/>
        </w:rPr>
        <w:t>“Oltre ai sistemi decisionali automatizzati, il presente articolo si applica anche qualora le piattaforme di lavoro digitali utilizzino sistemi automatizzati che prendono o sostengono decisioni che incidono in qualche modo sui lavoratori delle piattaforme digitali</w:t>
      </w:r>
      <w:r w:rsidRPr="002B7170">
        <w:rPr>
          <w:rFonts w:ascii="Times New Roman" w:hAnsi="Times New Roman" w:cs="Times New Roman"/>
          <w:sz w:val="24"/>
          <w:szCs w:val="24"/>
        </w:rPr>
        <w:t xml:space="preserve">”, che anch’esso è una riproduzione del contenuto della Direttiva (art. 12, par. 4) </w:t>
      </w:r>
      <w:r w:rsidR="001E3498">
        <w:rPr>
          <w:rFonts w:ascii="Times New Roman" w:hAnsi="Times New Roman" w:cs="Times New Roman"/>
          <w:sz w:val="24"/>
          <w:szCs w:val="24"/>
        </w:rPr>
        <w:t>e preciserebbe util</w:t>
      </w:r>
      <w:r>
        <w:rPr>
          <w:rFonts w:ascii="Times New Roman" w:hAnsi="Times New Roman" w:cs="Times New Roman"/>
          <w:sz w:val="24"/>
          <w:szCs w:val="24"/>
        </w:rPr>
        <w:t>mente il campo di applicazione dell’articolo</w:t>
      </w:r>
      <w:r w:rsidRPr="002B7170">
        <w:rPr>
          <w:rFonts w:ascii="Times New Roman" w:hAnsi="Times New Roman" w:cs="Times New Roman"/>
          <w:sz w:val="24"/>
          <w:szCs w:val="24"/>
        </w:rPr>
        <w:t>.</w:t>
      </w:r>
    </w:p>
    <w:p w:rsidR="002B7170" w:rsidRDefault="002B7170" w:rsidP="008223C6">
      <w:pPr>
        <w:pStyle w:val="Paragrafoelenco"/>
        <w:numPr>
          <w:ilvl w:val="0"/>
          <w:numId w:val="1"/>
        </w:numPr>
        <w:autoSpaceDE w:val="0"/>
        <w:autoSpaceDN w:val="0"/>
        <w:adjustRightInd w:val="0"/>
        <w:spacing w:after="0" w:line="276" w:lineRule="auto"/>
        <w:ind w:left="0" w:firstLine="357"/>
        <w:jc w:val="both"/>
        <w:rPr>
          <w:rFonts w:ascii="Times New Roman" w:hAnsi="Times New Roman" w:cs="Times New Roman"/>
          <w:sz w:val="24"/>
          <w:szCs w:val="24"/>
        </w:rPr>
      </w:pPr>
      <w:r>
        <w:rPr>
          <w:rFonts w:ascii="Times New Roman" w:hAnsi="Times New Roman" w:cs="Times New Roman"/>
          <w:sz w:val="24"/>
          <w:szCs w:val="24"/>
        </w:rPr>
        <w:t xml:space="preserve"> </w:t>
      </w:r>
      <w:r w:rsidR="004A165E">
        <w:rPr>
          <w:rFonts w:ascii="Times New Roman" w:hAnsi="Times New Roman" w:cs="Times New Roman"/>
          <w:sz w:val="24"/>
          <w:szCs w:val="24"/>
        </w:rPr>
        <w:t xml:space="preserve">Alla trasparenza del lavoro svolto mediante piattaforme digitali è dedicato il Capo V dello schema di decreto (artt. </w:t>
      </w:r>
      <w:r w:rsidR="004A165E" w:rsidRPr="003C6952">
        <w:rPr>
          <w:rFonts w:ascii="Times New Roman" w:hAnsi="Times New Roman" w:cs="Times New Roman"/>
          <w:b/>
          <w:sz w:val="24"/>
          <w:szCs w:val="24"/>
        </w:rPr>
        <w:t>14-15</w:t>
      </w:r>
      <w:r w:rsidR="004A165E">
        <w:rPr>
          <w:rFonts w:ascii="Times New Roman" w:hAnsi="Times New Roman" w:cs="Times New Roman"/>
          <w:sz w:val="24"/>
          <w:szCs w:val="24"/>
        </w:rPr>
        <w:t>)</w:t>
      </w:r>
      <w:r w:rsidR="003C6952">
        <w:rPr>
          <w:rFonts w:ascii="Times New Roman" w:hAnsi="Times New Roman" w:cs="Times New Roman"/>
          <w:sz w:val="24"/>
          <w:szCs w:val="24"/>
        </w:rPr>
        <w:t>.</w:t>
      </w:r>
    </w:p>
    <w:p w:rsidR="008223C6" w:rsidRDefault="003C6952" w:rsidP="008223C6">
      <w:pPr>
        <w:pStyle w:val="Default"/>
        <w:spacing w:line="276" w:lineRule="auto"/>
        <w:ind w:firstLine="357"/>
        <w:jc w:val="both"/>
        <w:rPr>
          <w:rFonts w:ascii="Times New Roman" w:hAnsi="Times New Roman" w:cs="Times New Roman"/>
        </w:rPr>
      </w:pPr>
      <w:r w:rsidRPr="008223C6">
        <w:rPr>
          <w:rFonts w:ascii="Times New Roman" w:hAnsi="Times New Roman" w:cs="Times New Roman"/>
        </w:rPr>
        <w:t xml:space="preserve">Qualche osservazione va svolta anche a questo proposito. L’art. 17 della Direttiva prevede, alla </w:t>
      </w:r>
      <w:r w:rsidRPr="008223C6">
        <w:rPr>
          <w:rFonts w:ascii="Times New Roman" w:hAnsi="Times New Roman" w:cs="Times New Roman"/>
          <w:i/>
        </w:rPr>
        <w:t>lett. a)</w:t>
      </w:r>
      <w:r w:rsidRPr="008223C6">
        <w:rPr>
          <w:rFonts w:ascii="Times New Roman" w:hAnsi="Times New Roman" w:cs="Times New Roman"/>
        </w:rPr>
        <w:t xml:space="preserve"> che le piattaforme mettendo a disposizione di autorità e rappresentanti </w:t>
      </w:r>
      <w:r w:rsidR="008223C6" w:rsidRPr="008223C6">
        <w:rPr>
          <w:rFonts w:ascii="Times New Roman" w:hAnsi="Times New Roman" w:cs="Times New Roman"/>
        </w:rPr>
        <w:t xml:space="preserve">informazioni su: </w:t>
      </w:r>
      <w:r w:rsidRPr="008223C6">
        <w:rPr>
          <w:rFonts w:ascii="Times New Roman" w:hAnsi="Times New Roman" w:cs="Times New Roman"/>
        </w:rPr>
        <w:t>“</w:t>
      </w:r>
      <w:r w:rsidR="008223C6" w:rsidRPr="008223C6">
        <w:rPr>
          <w:rFonts w:ascii="Times New Roman" w:hAnsi="Times New Roman" w:cs="Times New Roman"/>
        </w:rPr>
        <w:t xml:space="preserve">il numero di persone che svolgono un lavoro mediante la piattaforma di lavoro digitale interessata disaggregato per livello di attività e la loro situazione contrattuale o occupazionale”: ed è evidente che questo obbligo di fornire il dato numerico di quanti lavorino non presenta eccezioni consentite, se lo si confronti con la successiva </w:t>
      </w:r>
      <w:r w:rsidR="008223C6" w:rsidRPr="008223C6">
        <w:rPr>
          <w:rFonts w:ascii="Times New Roman" w:hAnsi="Times New Roman" w:cs="Times New Roman"/>
          <w:i/>
        </w:rPr>
        <w:t>lett. c)</w:t>
      </w:r>
      <w:r w:rsidR="008223C6" w:rsidRPr="008223C6">
        <w:rPr>
          <w:rFonts w:ascii="Times New Roman" w:hAnsi="Times New Roman" w:cs="Times New Roman"/>
        </w:rPr>
        <w:t>, per le quale le informazioni dovute riguardano “la durata media dell’attività, il numero medio settimanale di ore di lavoro svolte da ciascuna persona e il reddito medio derivante dall’attività delle persone che svolgono regolarmente un lavoro mediante la piattaforma di lavoro digitale interessata</w:t>
      </w:r>
      <w:r w:rsidR="008223C6">
        <w:rPr>
          <w:rFonts w:ascii="Times New Roman" w:hAnsi="Times New Roman" w:cs="Times New Roman"/>
        </w:rPr>
        <w:t xml:space="preserve">”: ed è evidente che persone che lavorano è diverso da persone che lavorano </w:t>
      </w:r>
      <w:r w:rsidR="008223C6" w:rsidRPr="008223C6">
        <w:rPr>
          <w:rFonts w:ascii="Times New Roman" w:hAnsi="Times New Roman" w:cs="Times New Roman"/>
          <w:i/>
        </w:rPr>
        <w:t>regolarmente</w:t>
      </w:r>
      <w:r w:rsidR="008223C6">
        <w:rPr>
          <w:rFonts w:ascii="Times New Roman" w:hAnsi="Times New Roman" w:cs="Times New Roman"/>
        </w:rPr>
        <w:t xml:space="preserve">. </w:t>
      </w:r>
    </w:p>
    <w:p w:rsidR="008223C6" w:rsidRDefault="008223C6" w:rsidP="008223C6">
      <w:pPr>
        <w:pStyle w:val="Default"/>
        <w:spacing w:line="276" w:lineRule="auto"/>
        <w:ind w:firstLine="357"/>
        <w:jc w:val="both"/>
        <w:rPr>
          <w:rFonts w:ascii="Times New Roman" w:hAnsi="Times New Roman" w:cs="Times New Roman"/>
        </w:rPr>
      </w:pPr>
      <w:r>
        <w:rPr>
          <w:rFonts w:ascii="Times New Roman" w:hAnsi="Times New Roman" w:cs="Times New Roman"/>
        </w:rPr>
        <w:t xml:space="preserve">Invece lo schema di decreto, all’art. 14, co. 1, </w:t>
      </w:r>
      <w:r w:rsidRPr="008223C6">
        <w:rPr>
          <w:rFonts w:ascii="Times New Roman" w:hAnsi="Times New Roman" w:cs="Times New Roman"/>
          <w:i/>
        </w:rPr>
        <w:t>lett. a)</w:t>
      </w:r>
      <w:r>
        <w:rPr>
          <w:rFonts w:ascii="Times New Roman" w:hAnsi="Times New Roman" w:cs="Times New Roman"/>
        </w:rPr>
        <w:t xml:space="preserve">, parla di informazioni sul numero di persone “che svolgono un lavoro mediante la piattaforma </w:t>
      </w:r>
      <w:r>
        <w:rPr>
          <w:rFonts w:ascii="Times New Roman" w:hAnsi="Times New Roman" w:cs="Times New Roman"/>
          <w:i/>
        </w:rPr>
        <w:t>in modo non occasional</w:t>
      </w:r>
      <w:r w:rsidRPr="008223C6">
        <w:rPr>
          <w:rFonts w:ascii="Times New Roman" w:hAnsi="Times New Roman" w:cs="Times New Roman"/>
          <w:i/>
        </w:rPr>
        <w:t>e</w:t>
      </w:r>
      <w:r>
        <w:rPr>
          <w:rFonts w:ascii="Times New Roman" w:hAnsi="Times New Roman" w:cs="Times New Roman"/>
        </w:rPr>
        <w:t xml:space="preserve">”: il che lascerebbe amplissimi margini di incertezza sulla definizione di non occasionalità, e specialmente con riferimento alle piattaforme di </w:t>
      </w:r>
      <w:r w:rsidRPr="008223C6">
        <w:rPr>
          <w:rFonts w:ascii="Times New Roman" w:hAnsi="Times New Roman" w:cs="Times New Roman"/>
          <w:i/>
        </w:rPr>
        <w:t>food delivery</w:t>
      </w:r>
      <w:r>
        <w:rPr>
          <w:rFonts w:ascii="Times New Roman" w:hAnsi="Times New Roman" w:cs="Times New Roman"/>
        </w:rPr>
        <w:t xml:space="preserve"> rischierebbe di svuotare di contenuto l’obbligo di informazione ridotto alla fornitura di un dato non significativo: Giuridicamente, si interpola la previsione della Direttiva inserendo un requisito non contemplato a livello di Unione Europea, con l’effetto di ridurre l’applicazione di quella previsione della Direttiva. La soluzione è una sola: </w:t>
      </w:r>
      <w:r w:rsidRPr="00006CE2">
        <w:rPr>
          <w:rFonts w:ascii="Times New Roman" w:hAnsi="Times New Roman" w:cs="Times New Roman"/>
          <w:b/>
          <w:i/>
        </w:rPr>
        <w:t>cassare le parole “in modo non occasionale” dall’ art. 14, co. 1, lett. a)</w:t>
      </w:r>
      <w:r>
        <w:rPr>
          <w:rFonts w:ascii="Times New Roman" w:hAnsi="Times New Roman" w:cs="Times New Roman"/>
        </w:rPr>
        <w:t>.</w:t>
      </w:r>
    </w:p>
    <w:p w:rsidR="008223C6" w:rsidRDefault="008223C6" w:rsidP="008223C6">
      <w:pPr>
        <w:pStyle w:val="Default"/>
        <w:spacing w:line="276" w:lineRule="auto"/>
        <w:ind w:firstLine="357"/>
        <w:jc w:val="both"/>
        <w:rPr>
          <w:rFonts w:ascii="Times New Roman" w:hAnsi="Times New Roman" w:cs="Times New Roman"/>
        </w:rPr>
      </w:pPr>
      <w:r>
        <w:rPr>
          <w:rFonts w:ascii="Times New Roman" w:hAnsi="Times New Roman" w:cs="Times New Roman"/>
        </w:rPr>
        <w:t>D</w:t>
      </w:r>
      <w:r w:rsidR="00006CE2">
        <w:rPr>
          <w:rFonts w:ascii="Times New Roman" w:hAnsi="Times New Roman" w:cs="Times New Roman"/>
        </w:rPr>
        <w:t>i</w:t>
      </w:r>
      <w:r>
        <w:rPr>
          <w:rFonts w:ascii="Times New Roman" w:hAnsi="Times New Roman" w:cs="Times New Roman"/>
        </w:rPr>
        <w:t xml:space="preserve">versamente, nel momento in cui la Direttiva </w:t>
      </w:r>
      <w:r w:rsidR="00006CE2">
        <w:rPr>
          <w:rFonts w:ascii="Times New Roman" w:hAnsi="Times New Roman" w:cs="Times New Roman"/>
        </w:rPr>
        <w:t xml:space="preserve">parla di persone che svolgono regolarmente un lavoro mediante la piattaforma, la parola “regolarmente” autorizza il legislatore nazionale a trasporla come “non occasionalmente”, come fa l’art. 14, co. 1, </w:t>
      </w:r>
      <w:r w:rsidR="00006CE2" w:rsidRPr="00006CE2">
        <w:rPr>
          <w:rFonts w:ascii="Times New Roman" w:hAnsi="Times New Roman" w:cs="Times New Roman"/>
          <w:i/>
        </w:rPr>
        <w:t>lett. c)</w:t>
      </w:r>
      <w:r w:rsidR="00006CE2">
        <w:rPr>
          <w:rFonts w:ascii="Times New Roman" w:hAnsi="Times New Roman" w:cs="Times New Roman"/>
        </w:rPr>
        <w:t>, che quindi si deve considerare legittimo.</w:t>
      </w:r>
    </w:p>
    <w:p w:rsidR="00F7406A" w:rsidRDefault="00006CE2" w:rsidP="00F7406A">
      <w:pPr>
        <w:pStyle w:val="Default"/>
        <w:numPr>
          <w:ilvl w:val="0"/>
          <w:numId w:val="1"/>
        </w:numPr>
        <w:spacing w:line="276" w:lineRule="auto"/>
        <w:ind w:left="0" w:firstLine="499"/>
        <w:jc w:val="both"/>
        <w:rPr>
          <w:rFonts w:ascii="Times New Roman" w:hAnsi="Times New Roman" w:cs="Times New Roman"/>
        </w:rPr>
      </w:pPr>
      <w:r>
        <w:rPr>
          <w:rFonts w:ascii="Times New Roman" w:hAnsi="Times New Roman" w:cs="Times New Roman"/>
        </w:rPr>
        <w:t xml:space="preserve"> Il Capo VI (</w:t>
      </w:r>
      <w:r w:rsidRPr="00006CE2">
        <w:rPr>
          <w:rFonts w:ascii="Times New Roman" w:hAnsi="Times New Roman" w:cs="Times New Roman"/>
          <w:b/>
        </w:rPr>
        <w:t>artt. 16-19</w:t>
      </w:r>
      <w:r>
        <w:rPr>
          <w:rFonts w:ascii="Times New Roman" w:hAnsi="Times New Roman" w:cs="Times New Roman"/>
        </w:rPr>
        <w:t xml:space="preserve"> dello schema di decreto legislativo) </w:t>
      </w:r>
      <w:r w:rsidR="00246F51">
        <w:rPr>
          <w:rFonts w:ascii="Times New Roman" w:hAnsi="Times New Roman" w:cs="Times New Roman"/>
        </w:rPr>
        <w:t>intendono recepire nel nostr</w:t>
      </w:r>
      <w:r w:rsidR="00D16785">
        <w:rPr>
          <w:rFonts w:ascii="Times New Roman" w:hAnsi="Times New Roman" w:cs="Times New Roman"/>
        </w:rPr>
        <w:t>o</w:t>
      </w:r>
      <w:r w:rsidR="00246F51">
        <w:rPr>
          <w:rFonts w:ascii="Times New Roman" w:hAnsi="Times New Roman" w:cs="Times New Roman"/>
        </w:rPr>
        <w:t xml:space="preserve"> ordi</w:t>
      </w:r>
      <w:r w:rsidR="00D16785">
        <w:rPr>
          <w:rFonts w:ascii="Times New Roman" w:hAnsi="Times New Roman" w:cs="Times New Roman"/>
        </w:rPr>
        <w:t>namento nazionale le previsioni degli artt. 20, 22, 23 e 24 della Direttiva.</w:t>
      </w:r>
    </w:p>
    <w:p w:rsidR="004D40D8" w:rsidRDefault="004D40D8" w:rsidP="00F7406A">
      <w:pPr>
        <w:pStyle w:val="Default"/>
        <w:spacing w:line="276" w:lineRule="auto"/>
        <w:ind w:firstLine="499"/>
        <w:jc w:val="both"/>
        <w:rPr>
          <w:rFonts w:ascii="Times New Roman" w:hAnsi="Times New Roman" w:cs="Times New Roman"/>
        </w:rPr>
      </w:pPr>
      <w:r w:rsidRPr="00F7406A">
        <w:rPr>
          <w:rFonts w:ascii="Times New Roman" w:hAnsi="Times New Roman" w:cs="Times New Roman"/>
        </w:rPr>
        <w:t>Per</w:t>
      </w:r>
      <w:r w:rsidR="00F7406A" w:rsidRPr="00F7406A">
        <w:rPr>
          <w:rFonts w:ascii="Times New Roman" w:hAnsi="Times New Roman" w:cs="Times New Roman"/>
        </w:rPr>
        <w:t xml:space="preserve"> quanto riguar</w:t>
      </w:r>
      <w:r w:rsidRPr="00F7406A">
        <w:rPr>
          <w:rFonts w:ascii="Times New Roman" w:hAnsi="Times New Roman" w:cs="Times New Roman"/>
        </w:rPr>
        <w:t>da l’art. 16, si deve osserva</w:t>
      </w:r>
      <w:r w:rsidR="00F7406A" w:rsidRPr="00F7406A">
        <w:rPr>
          <w:rFonts w:ascii="Times New Roman" w:hAnsi="Times New Roman" w:cs="Times New Roman"/>
        </w:rPr>
        <w:t>re che la perentoria disposizione</w:t>
      </w:r>
      <w:r w:rsidRPr="00F7406A">
        <w:rPr>
          <w:rFonts w:ascii="Times New Roman" w:hAnsi="Times New Roman" w:cs="Times New Roman"/>
        </w:rPr>
        <w:t xml:space="preserve"> dell’ultimo periodo dell’art. 20 della Direttiva</w:t>
      </w:r>
      <w:r w:rsidR="00F7406A" w:rsidRPr="00F7406A">
        <w:rPr>
          <w:rFonts w:ascii="Times New Roman" w:hAnsi="Times New Roman" w:cs="Times New Roman"/>
        </w:rPr>
        <w:t xml:space="preserve"> (“Gli Stati membri impongono alle piattaforme di lavoro digitali di astenersi dall’accedere a tali contatti e comunicazioni e dal monitorarli”) non ha riscontro nello schema di decreto legislativo</w:t>
      </w:r>
      <w:r w:rsidR="00F7406A">
        <w:rPr>
          <w:rFonts w:ascii="Times New Roman" w:hAnsi="Times New Roman" w:cs="Times New Roman"/>
        </w:rPr>
        <w:t xml:space="preserve">, e non può essere considerata rientrare nella generica previsione che i canali di comunicazione siano privati, come la Direttiva già prescrive nello stesso art. 20 </w:t>
      </w:r>
      <w:r w:rsidR="00F7406A" w:rsidRPr="00F7406A">
        <w:rPr>
          <w:rFonts w:ascii="Times New Roman" w:hAnsi="Times New Roman" w:cs="Times New Roman"/>
          <w:i/>
        </w:rPr>
        <w:t>prima</w:t>
      </w:r>
      <w:r w:rsidR="00F7406A">
        <w:rPr>
          <w:rFonts w:ascii="Times New Roman" w:hAnsi="Times New Roman" w:cs="Times New Roman"/>
        </w:rPr>
        <w:t xml:space="preserve"> del periodo riportato. Neppure può essere </w:t>
      </w:r>
      <w:r w:rsidR="005024E7">
        <w:rPr>
          <w:rFonts w:ascii="Times New Roman" w:hAnsi="Times New Roman" w:cs="Times New Roman"/>
        </w:rPr>
        <w:t xml:space="preserve">ritenuta assorbita dalla previsione dell’art. 16, co. 2, dello schema, che si limita a richiedere che i detti canali “non siano soggetti a monitoraggio i interferenze indebite del datore di lavoro”, lasciando aperta la questione se possano sussistere interferenze non indebite. </w:t>
      </w:r>
      <w:r w:rsidR="00F7406A">
        <w:rPr>
          <w:rFonts w:ascii="Times New Roman" w:hAnsi="Times New Roman" w:cs="Times New Roman"/>
        </w:rPr>
        <w:t xml:space="preserve">Quindi anche in questo caso la trasposizione nell’ordinamento nazionale non sarebbe corretta se non si aggiungesse </w:t>
      </w:r>
      <w:r w:rsidR="00F7406A" w:rsidRPr="00F7406A">
        <w:rPr>
          <w:rFonts w:ascii="Times New Roman" w:hAnsi="Times New Roman" w:cs="Times New Roman"/>
          <w:b/>
          <w:i/>
        </w:rPr>
        <w:t>alla fine dell’art. 16, co. 1</w:t>
      </w:r>
      <w:r w:rsidR="00F7406A">
        <w:rPr>
          <w:rFonts w:ascii="Times New Roman" w:hAnsi="Times New Roman" w:cs="Times New Roman"/>
        </w:rPr>
        <w:t>, proprio la frase citata della Direttiva: “</w:t>
      </w:r>
      <w:r w:rsidR="00F7406A" w:rsidRPr="00F7406A">
        <w:rPr>
          <w:rFonts w:ascii="Times New Roman" w:hAnsi="Times New Roman" w:cs="Times New Roman"/>
          <w:b/>
          <w:i/>
        </w:rPr>
        <w:t>Alle piattaforme di lavoro digitali è vietato accedere a tali contatti e comunicazioni e monitorarli</w:t>
      </w:r>
      <w:r w:rsidR="00F7406A">
        <w:rPr>
          <w:rFonts w:ascii="Times New Roman" w:hAnsi="Times New Roman" w:cs="Times New Roman"/>
        </w:rPr>
        <w:t>”.</w:t>
      </w:r>
    </w:p>
    <w:p w:rsidR="005024E7" w:rsidRDefault="005024E7" w:rsidP="005024E7">
      <w:pPr>
        <w:pStyle w:val="Default"/>
        <w:numPr>
          <w:ilvl w:val="0"/>
          <w:numId w:val="1"/>
        </w:numPr>
        <w:spacing w:line="276" w:lineRule="auto"/>
        <w:ind w:left="0" w:firstLine="357"/>
        <w:jc w:val="both"/>
        <w:rPr>
          <w:rFonts w:ascii="Times New Roman" w:hAnsi="Times New Roman" w:cs="Times New Roman"/>
        </w:rPr>
      </w:pPr>
      <w:r>
        <w:rPr>
          <w:rFonts w:ascii="Times New Roman" w:hAnsi="Times New Roman" w:cs="Times New Roman"/>
        </w:rPr>
        <w:t>Infine, il Capo VII dello schema di decreto legislativo (</w:t>
      </w:r>
      <w:r w:rsidRPr="00F001D8">
        <w:rPr>
          <w:rFonts w:ascii="Times New Roman" w:hAnsi="Times New Roman" w:cs="Times New Roman"/>
          <w:b/>
        </w:rPr>
        <w:t>artt. 20-27</w:t>
      </w:r>
      <w:r>
        <w:rPr>
          <w:rFonts w:ascii="Times New Roman" w:hAnsi="Times New Roman" w:cs="Times New Roman"/>
        </w:rPr>
        <w:t>) contiene le disposiz</w:t>
      </w:r>
      <w:r w:rsidR="00F001D8">
        <w:rPr>
          <w:rFonts w:ascii="Times New Roman" w:hAnsi="Times New Roman" w:cs="Times New Roman"/>
        </w:rPr>
        <w:t>i</w:t>
      </w:r>
      <w:r>
        <w:rPr>
          <w:rFonts w:ascii="Times New Roman" w:hAnsi="Times New Roman" w:cs="Times New Roman"/>
        </w:rPr>
        <w:t>oni di coordinamento e finali.</w:t>
      </w:r>
    </w:p>
    <w:p w:rsidR="00F001D8" w:rsidRDefault="00F001D8" w:rsidP="00711CDB">
      <w:pPr>
        <w:pStyle w:val="Default"/>
        <w:spacing w:line="276" w:lineRule="auto"/>
        <w:ind w:firstLine="357"/>
        <w:jc w:val="both"/>
        <w:rPr>
          <w:rFonts w:ascii="Times New Roman" w:hAnsi="Times New Roman" w:cs="Times New Roman"/>
        </w:rPr>
      </w:pPr>
      <w:r>
        <w:rPr>
          <w:rFonts w:ascii="Times New Roman" w:hAnsi="Times New Roman" w:cs="Times New Roman"/>
        </w:rPr>
        <w:t>Tra queste, va</w:t>
      </w:r>
      <w:r w:rsidR="00711CDB">
        <w:rPr>
          <w:rFonts w:ascii="Times New Roman" w:hAnsi="Times New Roman" w:cs="Times New Roman"/>
        </w:rPr>
        <w:t xml:space="preserve"> segnalato criticamente</w:t>
      </w:r>
      <w:r>
        <w:rPr>
          <w:rFonts w:ascii="Times New Roman" w:hAnsi="Times New Roman" w:cs="Times New Roman"/>
        </w:rPr>
        <w:t xml:space="preserve"> l’</w:t>
      </w:r>
      <w:r w:rsidRPr="00711CDB">
        <w:rPr>
          <w:rFonts w:ascii="Times New Roman" w:hAnsi="Times New Roman" w:cs="Times New Roman"/>
          <w:b/>
        </w:rPr>
        <w:t>art. 23</w:t>
      </w:r>
      <w:r>
        <w:rPr>
          <w:rFonts w:ascii="Times New Roman" w:hAnsi="Times New Roman" w:cs="Times New Roman"/>
        </w:rPr>
        <w:t xml:space="preserve">, </w:t>
      </w:r>
      <w:r w:rsidR="00711CDB">
        <w:rPr>
          <w:rFonts w:ascii="Times New Roman" w:hAnsi="Times New Roman" w:cs="Times New Roman"/>
        </w:rPr>
        <w:t xml:space="preserve">il quale </w:t>
      </w:r>
      <w:r>
        <w:rPr>
          <w:rFonts w:ascii="Times New Roman" w:hAnsi="Times New Roman" w:cs="Times New Roman"/>
        </w:rPr>
        <w:t xml:space="preserve">contiene modifiche al decreto legislativo 15 giugno 2015, n. 81. </w:t>
      </w:r>
    </w:p>
    <w:p w:rsidR="007C33F6" w:rsidRDefault="00711CDB" w:rsidP="0037772F">
      <w:pPr>
        <w:autoSpaceDE w:val="0"/>
        <w:autoSpaceDN w:val="0"/>
        <w:adjustRightInd w:val="0"/>
        <w:spacing w:after="0" w:line="276" w:lineRule="auto"/>
        <w:ind w:firstLine="357"/>
        <w:jc w:val="both"/>
        <w:rPr>
          <w:rFonts w:ascii="Times New Roman" w:hAnsi="Times New Roman" w:cs="Times New Roman"/>
          <w:sz w:val="24"/>
          <w:szCs w:val="24"/>
        </w:rPr>
      </w:pPr>
      <w:r w:rsidRPr="007C33F6">
        <w:rPr>
          <w:rFonts w:ascii="Times New Roman" w:hAnsi="Times New Roman" w:cs="Times New Roman"/>
          <w:sz w:val="24"/>
          <w:szCs w:val="24"/>
        </w:rPr>
        <w:t xml:space="preserve">La modifica dell’art. 2, co. 1, del decreto </w:t>
      </w:r>
      <w:r w:rsidR="007C33F6" w:rsidRPr="007C33F6">
        <w:rPr>
          <w:rFonts w:ascii="Times New Roman" w:hAnsi="Times New Roman" w:cs="Times New Roman"/>
          <w:sz w:val="24"/>
          <w:szCs w:val="24"/>
        </w:rPr>
        <w:t>legislativo</w:t>
      </w:r>
      <w:r w:rsidRPr="007C33F6">
        <w:rPr>
          <w:rFonts w:ascii="Times New Roman" w:hAnsi="Times New Roman" w:cs="Times New Roman"/>
          <w:sz w:val="24"/>
          <w:szCs w:val="24"/>
        </w:rPr>
        <w:t xml:space="preserve"> n. 81/2015 pare mal redatta. Il testo sinora vigente </w:t>
      </w:r>
      <w:r w:rsidR="007C33F6" w:rsidRPr="007C33F6">
        <w:rPr>
          <w:rFonts w:ascii="Times New Roman" w:hAnsi="Times New Roman" w:cs="Times New Roman"/>
          <w:sz w:val="24"/>
          <w:szCs w:val="24"/>
        </w:rPr>
        <w:t>prevede che “</w:t>
      </w:r>
      <w:r w:rsidR="007C33F6" w:rsidRPr="007C33F6">
        <w:rPr>
          <w:rStyle w:val="arttextincomma"/>
          <w:rFonts w:ascii="Times New Roman" w:hAnsi="Times New Roman" w:cs="Times New Roman"/>
          <w:sz w:val="24"/>
          <w:szCs w:val="24"/>
        </w:rPr>
        <w:t>A far data dal 1° gennaio 2016, si applica la disciplina del rapporto di lavoro subordinato anche ai rapporti di collaborazione che si concretano in prestazioni di lavoro prevalentemente personali, continuative e le cui modalità di esecuzione sono organizzate dal committente. Le disposizioni di cui al presente comma si applicano anche qualora le modalità di esecuzione della prestazione siano organizzate mediante piattaforme anche digitali”. Se, come vuole lo schema di decreto, si aggiunge “</w:t>
      </w:r>
      <w:r w:rsidR="007C33F6" w:rsidRPr="007C33F6">
        <w:rPr>
          <w:rFonts w:ascii="Times New Roman" w:hAnsi="Times New Roman" w:cs="Times New Roman"/>
          <w:sz w:val="24"/>
          <w:szCs w:val="24"/>
        </w:rPr>
        <w:t>ivi comprese</w:t>
      </w:r>
      <w:r w:rsidR="007C33F6">
        <w:rPr>
          <w:rFonts w:ascii="Times New Roman" w:hAnsi="Times New Roman" w:cs="Times New Roman"/>
          <w:sz w:val="24"/>
          <w:szCs w:val="24"/>
        </w:rPr>
        <w:t xml:space="preserve"> </w:t>
      </w:r>
      <w:r w:rsidR="007C33F6" w:rsidRPr="007C33F6">
        <w:rPr>
          <w:rFonts w:ascii="Times New Roman" w:hAnsi="Times New Roman" w:cs="Times New Roman"/>
          <w:sz w:val="24"/>
          <w:szCs w:val="24"/>
        </w:rPr>
        <w:t xml:space="preserve">le piattaforme come definite all’articolo 3, comma 1, lettera </w:t>
      </w:r>
      <w:r w:rsidR="007C33F6" w:rsidRPr="007C33F6">
        <w:rPr>
          <w:rFonts w:ascii="Times New Roman" w:hAnsi="Times New Roman" w:cs="Times New Roman"/>
          <w:i/>
          <w:iCs/>
          <w:sz w:val="24"/>
          <w:szCs w:val="24"/>
        </w:rPr>
        <w:t>a</w:t>
      </w:r>
      <w:r w:rsidR="007C33F6" w:rsidRPr="007C33F6">
        <w:rPr>
          <w:rFonts w:ascii="Times New Roman" w:hAnsi="Times New Roman" w:cs="Times New Roman"/>
          <w:sz w:val="24"/>
          <w:szCs w:val="24"/>
        </w:rPr>
        <w:t>), del decreto legislativo di attuazione dell’articolo 11 della legge 13 giugno 2025, n. 91”, si fa una ridondante ripetizione</w:t>
      </w:r>
      <w:r w:rsidR="007C33F6">
        <w:rPr>
          <w:rFonts w:ascii="Times New Roman" w:hAnsi="Times New Roman" w:cs="Times New Roman"/>
          <w:sz w:val="24"/>
          <w:szCs w:val="24"/>
        </w:rPr>
        <w:t>, non esistendo altre piatt</w:t>
      </w:r>
      <w:r w:rsidR="00ED0811">
        <w:rPr>
          <w:rFonts w:ascii="Times New Roman" w:hAnsi="Times New Roman" w:cs="Times New Roman"/>
          <w:sz w:val="24"/>
          <w:szCs w:val="24"/>
        </w:rPr>
        <w:t>a</w:t>
      </w:r>
      <w:r w:rsidR="007C33F6">
        <w:rPr>
          <w:rFonts w:ascii="Times New Roman" w:hAnsi="Times New Roman" w:cs="Times New Roman"/>
          <w:sz w:val="24"/>
          <w:szCs w:val="24"/>
        </w:rPr>
        <w:t xml:space="preserve">forme digitali </w:t>
      </w:r>
      <w:r w:rsidR="00ED0811">
        <w:rPr>
          <w:rFonts w:ascii="Times New Roman" w:hAnsi="Times New Roman" w:cs="Times New Roman"/>
          <w:sz w:val="24"/>
          <w:szCs w:val="24"/>
        </w:rPr>
        <w:t>c</w:t>
      </w:r>
      <w:r w:rsidR="007C33F6">
        <w:rPr>
          <w:rFonts w:ascii="Times New Roman" w:hAnsi="Times New Roman" w:cs="Times New Roman"/>
          <w:sz w:val="24"/>
          <w:szCs w:val="24"/>
        </w:rPr>
        <w:t>he quelle definite dalla Direttiva e dall’emanando decreto.</w:t>
      </w:r>
    </w:p>
    <w:p w:rsidR="00711CDB" w:rsidRDefault="007C33F6" w:rsidP="0037772F">
      <w:pPr>
        <w:autoSpaceDE w:val="0"/>
        <w:autoSpaceDN w:val="0"/>
        <w:adjustRightInd w:val="0"/>
        <w:spacing w:after="0" w:line="276" w:lineRule="auto"/>
        <w:ind w:firstLine="357"/>
        <w:jc w:val="both"/>
        <w:rPr>
          <w:rFonts w:ascii="Times New Roman" w:hAnsi="Times New Roman" w:cs="Times New Roman"/>
          <w:sz w:val="24"/>
          <w:szCs w:val="24"/>
        </w:rPr>
      </w:pPr>
      <w:r>
        <w:rPr>
          <w:rFonts w:ascii="Times New Roman" w:hAnsi="Times New Roman" w:cs="Times New Roman"/>
          <w:sz w:val="24"/>
          <w:szCs w:val="24"/>
        </w:rPr>
        <w:t>Pertanto, o si sopprime la modifica o la si dovrebbe riformulare nel senso di una modifica, non di un’aggiunta: “</w:t>
      </w:r>
      <w:r w:rsidRPr="007C33F6">
        <w:rPr>
          <w:rFonts w:ascii="Times New Roman" w:hAnsi="Times New Roman" w:cs="Times New Roman"/>
          <w:b/>
          <w:i/>
          <w:sz w:val="24"/>
          <w:szCs w:val="24"/>
        </w:rPr>
        <w:t xml:space="preserve">Le disposizioni di cui al presente comma si applicano anche qualora le modalità di esecuzione della prestazione siano organizzate mediante piattaforme di lavoro digitale come definite all’articolo 3, comma 1, lettera </w:t>
      </w:r>
      <w:r w:rsidRPr="007C33F6">
        <w:rPr>
          <w:rFonts w:ascii="Times New Roman" w:hAnsi="Times New Roman" w:cs="Times New Roman"/>
          <w:b/>
          <w:i/>
          <w:iCs/>
          <w:sz w:val="24"/>
          <w:szCs w:val="24"/>
        </w:rPr>
        <w:t>a</w:t>
      </w:r>
      <w:r w:rsidRPr="007C33F6">
        <w:rPr>
          <w:rFonts w:ascii="Times New Roman" w:hAnsi="Times New Roman" w:cs="Times New Roman"/>
          <w:b/>
          <w:i/>
          <w:sz w:val="24"/>
          <w:szCs w:val="24"/>
        </w:rPr>
        <w:t>), del decreto legislativo di attuazione dell’articolo 11 della legge 13 giugno 2025, n. 91</w:t>
      </w:r>
      <w:r>
        <w:rPr>
          <w:rFonts w:ascii="Times New Roman" w:hAnsi="Times New Roman" w:cs="Times New Roman"/>
          <w:sz w:val="24"/>
          <w:szCs w:val="24"/>
        </w:rPr>
        <w:t>”</w:t>
      </w:r>
      <w:r w:rsidRPr="007C33F6">
        <w:rPr>
          <w:rFonts w:ascii="Times New Roman" w:hAnsi="Times New Roman" w:cs="Times New Roman"/>
          <w:sz w:val="24"/>
          <w:szCs w:val="24"/>
        </w:rPr>
        <w:t xml:space="preserve">. </w:t>
      </w:r>
    </w:p>
    <w:p w:rsidR="007C33F6" w:rsidRDefault="007C33F6" w:rsidP="0037772F">
      <w:pPr>
        <w:autoSpaceDE w:val="0"/>
        <w:autoSpaceDN w:val="0"/>
        <w:adjustRightInd w:val="0"/>
        <w:spacing w:after="0" w:line="276" w:lineRule="auto"/>
        <w:ind w:firstLine="357"/>
        <w:jc w:val="both"/>
        <w:rPr>
          <w:rFonts w:ascii="Times New Roman" w:hAnsi="Times New Roman" w:cs="Times New Roman"/>
          <w:sz w:val="24"/>
          <w:szCs w:val="24"/>
        </w:rPr>
      </w:pPr>
      <w:r w:rsidRPr="0037772F">
        <w:rPr>
          <w:rFonts w:ascii="Times New Roman" w:hAnsi="Times New Roman" w:cs="Times New Roman"/>
          <w:b/>
          <w:i/>
          <w:sz w:val="24"/>
          <w:szCs w:val="24"/>
        </w:rPr>
        <w:t>Le modifiche del Capo V-bis del richiamato decreto legislativo n. 81/2015 dovr</w:t>
      </w:r>
      <w:r w:rsidR="0037772F" w:rsidRPr="0037772F">
        <w:rPr>
          <w:rFonts w:ascii="Times New Roman" w:hAnsi="Times New Roman" w:cs="Times New Roman"/>
          <w:b/>
          <w:i/>
          <w:sz w:val="24"/>
          <w:szCs w:val="24"/>
        </w:rPr>
        <w:t>e</w:t>
      </w:r>
      <w:r w:rsidRPr="0037772F">
        <w:rPr>
          <w:rFonts w:ascii="Times New Roman" w:hAnsi="Times New Roman" w:cs="Times New Roman"/>
          <w:b/>
          <w:i/>
          <w:sz w:val="24"/>
          <w:szCs w:val="24"/>
        </w:rPr>
        <w:t>bbero invece essere tutte cassate</w:t>
      </w:r>
      <w:r w:rsidR="0037772F">
        <w:rPr>
          <w:rFonts w:ascii="Times New Roman" w:hAnsi="Times New Roman" w:cs="Times New Roman"/>
          <w:sz w:val="24"/>
          <w:szCs w:val="24"/>
        </w:rPr>
        <w:t xml:space="preserve"> </w:t>
      </w:r>
      <w:r w:rsidR="0037772F" w:rsidRPr="0037772F">
        <w:rPr>
          <w:rFonts w:ascii="Times New Roman" w:hAnsi="Times New Roman" w:cs="Times New Roman"/>
          <w:b/>
          <w:i/>
          <w:sz w:val="24"/>
          <w:szCs w:val="24"/>
        </w:rPr>
        <w:t>dal testo del decreto</w:t>
      </w:r>
      <w:r>
        <w:rPr>
          <w:rFonts w:ascii="Times New Roman" w:hAnsi="Times New Roman" w:cs="Times New Roman"/>
          <w:sz w:val="24"/>
          <w:szCs w:val="24"/>
        </w:rPr>
        <w:t xml:space="preserve">, visto che </w:t>
      </w:r>
      <w:r w:rsidR="0037772F">
        <w:rPr>
          <w:rFonts w:ascii="Times New Roman" w:hAnsi="Times New Roman" w:cs="Times New Roman"/>
          <w:sz w:val="24"/>
          <w:szCs w:val="24"/>
        </w:rPr>
        <w:t>presuppongono sia possi</w:t>
      </w:r>
      <w:r>
        <w:rPr>
          <w:rFonts w:ascii="Times New Roman" w:hAnsi="Times New Roman" w:cs="Times New Roman"/>
          <w:sz w:val="24"/>
          <w:szCs w:val="24"/>
        </w:rPr>
        <w:t>bile un ciclofat</w:t>
      </w:r>
      <w:r w:rsidR="0037772F">
        <w:rPr>
          <w:rFonts w:ascii="Times New Roman" w:hAnsi="Times New Roman" w:cs="Times New Roman"/>
          <w:sz w:val="24"/>
          <w:szCs w:val="24"/>
        </w:rPr>
        <w:t>t</w:t>
      </w:r>
      <w:r>
        <w:rPr>
          <w:rFonts w:ascii="Times New Roman" w:hAnsi="Times New Roman" w:cs="Times New Roman"/>
          <w:sz w:val="24"/>
          <w:szCs w:val="24"/>
        </w:rPr>
        <w:t xml:space="preserve">orino lavoratore autonomo con le </w:t>
      </w:r>
      <w:r w:rsidR="0037772F">
        <w:rPr>
          <w:rFonts w:ascii="Times New Roman" w:hAnsi="Times New Roman" w:cs="Times New Roman"/>
          <w:sz w:val="24"/>
          <w:szCs w:val="24"/>
        </w:rPr>
        <w:t>piattaforme</w:t>
      </w:r>
      <w:r>
        <w:rPr>
          <w:rFonts w:ascii="Times New Roman" w:hAnsi="Times New Roman" w:cs="Times New Roman"/>
          <w:sz w:val="24"/>
          <w:szCs w:val="24"/>
        </w:rPr>
        <w:t xml:space="preserve"> digitali che però, come si è già detto in relazione all’art. 3, </w:t>
      </w:r>
      <w:r w:rsidR="0037772F">
        <w:rPr>
          <w:rFonts w:ascii="Times New Roman" w:hAnsi="Times New Roman" w:cs="Times New Roman"/>
          <w:sz w:val="24"/>
          <w:szCs w:val="24"/>
        </w:rPr>
        <w:t xml:space="preserve">non solo non esiste nella realtà, ma </w:t>
      </w:r>
      <w:r>
        <w:rPr>
          <w:rFonts w:ascii="Times New Roman" w:hAnsi="Times New Roman" w:cs="Times New Roman"/>
          <w:sz w:val="24"/>
          <w:szCs w:val="24"/>
        </w:rPr>
        <w:t xml:space="preserve">è impossibile per le previsioni </w:t>
      </w:r>
      <w:r w:rsidR="0037772F">
        <w:rPr>
          <w:rFonts w:ascii="Times New Roman" w:hAnsi="Times New Roman" w:cs="Times New Roman"/>
          <w:sz w:val="24"/>
          <w:szCs w:val="24"/>
        </w:rPr>
        <w:t>della</w:t>
      </w:r>
      <w:r>
        <w:rPr>
          <w:rFonts w:ascii="Times New Roman" w:hAnsi="Times New Roman" w:cs="Times New Roman"/>
          <w:sz w:val="24"/>
          <w:szCs w:val="24"/>
        </w:rPr>
        <w:t xml:space="preserve"> Direttiva e dello stesso schema di decreto che impongono l’etero-org</w:t>
      </w:r>
      <w:r w:rsidR="0037772F">
        <w:rPr>
          <w:rFonts w:ascii="Times New Roman" w:hAnsi="Times New Roman" w:cs="Times New Roman"/>
          <w:sz w:val="24"/>
          <w:szCs w:val="24"/>
        </w:rPr>
        <w:t>anizzazione del lavoro digitale per la stessa definizione di piattaforma di lavoro digitale.</w:t>
      </w:r>
    </w:p>
    <w:p w:rsidR="0037772F" w:rsidRDefault="0037772F" w:rsidP="0037772F">
      <w:pPr>
        <w:autoSpaceDE w:val="0"/>
        <w:autoSpaceDN w:val="0"/>
        <w:adjustRightInd w:val="0"/>
        <w:spacing w:after="0" w:line="276" w:lineRule="auto"/>
        <w:ind w:firstLine="357"/>
        <w:jc w:val="both"/>
        <w:rPr>
          <w:rFonts w:ascii="Times New Roman" w:hAnsi="Times New Roman" w:cs="Times New Roman"/>
          <w:sz w:val="24"/>
          <w:szCs w:val="24"/>
        </w:rPr>
      </w:pPr>
      <w:r>
        <w:rPr>
          <w:rFonts w:ascii="Times New Roman" w:hAnsi="Times New Roman" w:cs="Times New Roman"/>
          <w:sz w:val="24"/>
          <w:szCs w:val="24"/>
        </w:rPr>
        <w:t xml:space="preserve">Infine, qualche osservazione sulle disposizioni della Direttiva non recepite nello schema di decreto legislativo, che sono quelle contenute negli artt. 6 e 25 della Direttiva stessa. </w:t>
      </w:r>
    </w:p>
    <w:p w:rsidR="001C6223" w:rsidRDefault="0037772F" w:rsidP="001C6223">
      <w:pPr>
        <w:pStyle w:val="Default"/>
        <w:ind w:firstLine="357"/>
        <w:jc w:val="both"/>
        <w:rPr>
          <w:rFonts w:ascii="Times New Roman" w:hAnsi="Times New Roman" w:cs="Times New Roman"/>
          <w:bCs/>
        </w:rPr>
      </w:pPr>
      <w:r w:rsidRPr="001C6223">
        <w:rPr>
          <w:rFonts w:ascii="Times New Roman" w:hAnsi="Times New Roman" w:cs="Times New Roman"/>
        </w:rPr>
        <w:t xml:space="preserve">L’art. 6 della Direttiva, rubricato </w:t>
      </w:r>
      <w:r w:rsidRPr="001C6223">
        <w:rPr>
          <w:rFonts w:ascii="Times New Roman" w:hAnsi="Times New Roman" w:cs="Times New Roman"/>
          <w:bCs/>
          <w:i/>
        </w:rPr>
        <w:t>Quadro di misure di sostegno</w:t>
      </w:r>
      <w:r w:rsidR="001C6223" w:rsidRPr="001C6223">
        <w:rPr>
          <w:rFonts w:ascii="Times New Roman" w:hAnsi="Times New Roman" w:cs="Times New Roman"/>
          <w:bCs/>
        </w:rPr>
        <w:t>, prevede che</w:t>
      </w:r>
      <w:r w:rsidR="001C6223">
        <w:rPr>
          <w:rFonts w:ascii="Times New Roman" w:hAnsi="Times New Roman" w:cs="Times New Roman"/>
          <w:bCs/>
        </w:rPr>
        <w:t>:</w:t>
      </w:r>
    </w:p>
    <w:p w:rsidR="0037772F" w:rsidRPr="001C6223" w:rsidRDefault="001C6223" w:rsidP="001C6223">
      <w:pPr>
        <w:pStyle w:val="Default"/>
        <w:ind w:firstLine="357"/>
        <w:jc w:val="both"/>
        <w:rPr>
          <w:rFonts w:ascii="Times New Roman" w:hAnsi="Times New Roman" w:cs="Times New Roman"/>
        </w:rPr>
      </w:pPr>
      <w:r w:rsidRPr="001C6223">
        <w:rPr>
          <w:rFonts w:ascii="Times New Roman" w:hAnsi="Times New Roman" w:cs="Times New Roman"/>
          <w:b/>
          <w:bCs/>
        </w:rPr>
        <w:t xml:space="preserve"> “</w:t>
      </w:r>
      <w:r w:rsidR="0037772F" w:rsidRPr="001C6223">
        <w:rPr>
          <w:rFonts w:ascii="Times New Roman" w:hAnsi="Times New Roman" w:cs="Times New Roman"/>
        </w:rPr>
        <w:t>Gli Stati membri stabiliscono un quadro di misure di sostegno al fine di garantire l’efficace attuazione e il rispetto della presunzione legale. In particolare:</w:t>
      </w:r>
    </w:p>
    <w:p w:rsidR="0037772F" w:rsidRPr="001C6223" w:rsidRDefault="0037772F" w:rsidP="001C6223">
      <w:pPr>
        <w:pStyle w:val="Default"/>
        <w:numPr>
          <w:ilvl w:val="0"/>
          <w:numId w:val="4"/>
        </w:numPr>
        <w:jc w:val="both"/>
        <w:rPr>
          <w:rFonts w:ascii="Times New Roman" w:hAnsi="Times New Roman" w:cs="Times New Roman"/>
        </w:rPr>
      </w:pPr>
    </w:p>
    <w:p w:rsidR="0037772F" w:rsidRPr="001C6223" w:rsidRDefault="0037772F" w:rsidP="001C6223">
      <w:pPr>
        <w:pStyle w:val="Default"/>
        <w:jc w:val="both"/>
        <w:rPr>
          <w:rFonts w:ascii="Times New Roman" w:hAnsi="Times New Roman" w:cs="Times New Roman"/>
        </w:rPr>
      </w:pPr>
      <w:r w:rsidRPr="001C6223">
        <w:rPr>
          <w:rFonts w:ascii="Times New Roman" w:hAnsi="Times New Roman" w:cs="Times New Roman"/>
        </w:rPr>
        <w:t>elaborano orientamenti adeguati, anche sotto forma di raccomandazioni concrete e pratiche, affinché le piattaforme di lavoro digitali, le persone che svolgono un lavoro mediante piattaforme digitali e le parti sociali comprendano e attuino la presunzione legale, anche per quanto riguarda le procedure per confutarla;</w:t>
      </w:r>
    </w:p>
    <w:p w:rsidR="0037772F" w:rsidRPr="001C6223" w:rsidRDefault="0037772F" w:rsidP="001C6223">
      <w:pPr>
        <w:pStyle w:val="Default"/>
        <w:jc w:val="both"/>
        <w:rPr>
          <w:rFonts w:ascii="Times New Roman" w:hAnsi="Times New Roman" w:cs="Times New Roman"/>
        </w:rPr>
      </w:pPr>
    </w:p>
    <w:p w:rsidR="0037772F" w:rsidRPr="001C6223" w:rsidRDefault="0037772F" w:rsidP="001C6223">
      <w:pPr>
        <w:pStyle w:val="Default"/>
        <w:numPr>
          <w:ilvl w:val="0"/>
          <w:numId w:val="5"/>
        </w:numPr>
        <w:jc w:val="both"/>
        <w:rPr>
          <w:rFonts w:ascii="Times New Roman" w:hAnsi="Times New Roman" w:cs="Times New Roman"/>
        </w:rPr>
      </w:pPr>
    </w:p>
    <w:p w:rsidR="0037772F" w:rsidRPr="001C6223" w:rsidRDefault="0037772F" w:rsidP="001C6223">
      <w:pPr>
        <w:pStyle w:val="Default"/>
        <w:jc w:val="both"/>
        <w:rPr>
          <w:rFonts w:ascii="Times New Roman" w:hAnsi="Times New Roman" w:cs="Times New Roman"/>
        </w:rPr>
      </w:pPr>
      <w:r w:rsidRPr="001C6223">
        <w:rPr>
          <w:rFonts w:ascii="Times New Roman" w:hAnsi="Times New Roman" w:cs="Times New Roman"/>
        </w:rPr>
        <w:t>elaborano orientamenti e stabiliscono procedure adeguate per le autorità nazionali competenti, in conformità del diritto e delle prassi nazionali, anche sulla collaborazione tra le autorità nazionali competenti, affinché le stesse individuino, affrontino e perseguano attivamente le piattaforme di lavoro digitali che non rispettano le norme applicabili alla determinazione della corretta situazione occupazionale delle persone che svolgono un lavoro mediante piattaforme digitali;</w:t>
      </w:r>
    </w:p>
    <w:p w:rsidR="0037772F" w:rsidRPr="001C6223" w:rsidRDefault="0037772F" w:rsidP="001C6223">
      <w:pPr>
        <w:pStyle w:val="Default"/>
        <w:jc w:val="both"/>
        <w:rPr>
          <w:rFonts w:ascii="Times New Roman" w:hAnsi="Times New Roman" w:cs="Times New Roman"/>
        </w:rPr>
      </w:pPr>
    </w:p>
    <w:p w:rsidR="0037772F" w:rsidRPr="001C6223" w:rsidRDefault="0037772F" w:rsidP="001C6223">
      <w:pPr>
        <w:pStyle w:val="Default"/>
        <w:numPr>
          <w:ilvl w:val="0"/>
          <w:numId w:val="6"/>
        </w:numPr>
        <w:jc w:val="both"/>
        <w:rPr>
          <w:rFonts w:ascii="Times New Roman" w:hAnsi="Times New Roman" w:cs="Times New Roman"/>
        </w:rPr>
      </w:pPr>
    </w:p>
    <w:p w:rsidR="0037772F" w:rsidRPr="001C6223" w:rsidRDefault="0037772F" w:rsidP="001C6223">
      <w:pPr>
        <w:pStyle w:val="Default"/>
        <w:jc w:val="both"/>
        <w:rPr>
          <w:rFonts w:ascii="Times New Roman" w:hAnsi="Times New Roman" w:cs="Times New Roman"/>
        </w:rPr>
      </w:pPr>
      <w:r w:rsidRPr="001C6223">
        <w:rPr>
          <w:rFonts w:ascii="Times New Roman" w:hAnsi="Times New Roman" w:cs="Times New Roman"/>
        </w:rPr>
        <w:t>prevedono controlli e ispezioni efficaci effettuati dalle autorità nazionali competenti, in conformità del diritto e delle prassi nazionali, e in particolare istituiscono, se del caso, controlli e ispezioni su specifiche piattaforme di lavoro digitali qualora l’esistenza di un rapporto di lavoro tra tale piattaforma e una persona che svolge un lavoro mediante piattaforme digitali sia stata accertata da un’autorità nazionale competente, garantendo nel contempo che tali controlli e ispezioni siano proporzionati e non discriminatori;</w:t>
      </w:r>
    </w:p>
    <w:p w:rsidR="0037772F" w:rsidRPr="001C6223" w:rsidRDefault="0037772F" w:rsidP="001C6223">
      <w:pPr>
        <w:pStyle w:val="Default"/>
        <w:jc w:val="both"/>
        <w:rPr>
          <w:rFonts w:ascii="Times New Roman" w:hAnsi="Times New Roman" w:cs="Times New Roman"/>
        </w:rPr>
      </w:pPr>
    </w:p>
    <w:p w:rsidR="0037772F" w:rsidRPr="001C6223" w:rsidRDefault="0037772F" w:rsidP="001C6223">
      <w:pPr>
        <w:pStyle w:val="Default"/>
        <w:numPr>
          <w:ilvl w:val="0"/>
          <w:numId w:val="7"/>
        </w:numPr>
        <w:jc w:val="both"/>
        <w:rPr>
          <w:rFonts w:ascii="Times New Roman" w:hAnsi="Times New Roman" w:cs="Times New Roman"/>
        </w:rPr>
      </w:pPr>
    </w:p>
    <w:p w:rsidR="0037772F" w:rsidRDefault="0037772F" w:rsidP="001C6223">
      <w:pPr>
        <w:pStyle w:val="Default"/>
        <w:jc w:val="both"/>
        <w:rPr>
          <w:rFonts w:ascii="Times New Roman" w:hAnsi="Times New Roman" w:cs="Times New Roman"/>
        </w:rPr>
      </w:pPr>
      <w:r w:rsidRPr="001C6223">
        <w:rPr>
          <w:rFonts w:ascii="Times New Roman" w:hAnsi="Times New Roman" w:cs="Times New Roman"/>
        </w:rPr>
        <w:t>prevedono una formazione adeguata per le autorità nazionali competenti e garantiscono la disponibilità di competenze tecniche nel settore della gestione algoritmica, per consentire loro di svolgere i</w:t>
      </w:r>
      <w:r w:rsidR="001C6223">
        <w:rPr>
          <w:rFonts w:ascii="Times New Roman" w:hAnsi="Times New Roman" w:cs="Times New Roman"/>
        </w:rPr>
        <w:t xml:space="preserve"> compiti di cui alla lettera b)”.</w:t>
      </w:r>
      <w:r>
        <w:rPr>
          <w:rFonts w:ascii="Times New Roman" w:hAnsi="Times New Roman" w:cs="Times New Roman"/>
        </w:rPr>
        <w:t xml:space="preserve"> </w:t>
      </w:r>
    </w:p>
    <w:p w:rsidR="001C6223" w:rsidRDefault="001C6223" w:rsidP="001C6223">
      <w:pPr>
        <w:pStyle w:val="Default"/>
        <w:spacing w:line="276" w:lineRule="auto"/>
        <w:jc w:val="both"/>
        <w:rPr>
          <w:rFonts w:ascii="Times New Roman" w:hAnsi="Times New Roman" w:cs="Times New Roman"/>
        </w:rPr>
      </w:pPr>
      <w:r>
        <w:rPr>
          <w:rFonts w:ascii="Times New Roman" w:hAnsi="Times New Roman" w:cs="Times New Roman"/>
        </w:rPr>
        <w:tab/>
        <w:t xml:space="preserve">Nel </w:t>
      </w:r>
      <w:r w:rsidRPr="001C6223">
        <w:rPr>
          <w:rFonts w:ascii="Times New Roman" w:hAnsi="Times New Roman" w:cs="Times New Roman"/>
          <w:i/>
        </w:rPr>
        <w:t>Dossier</w:t>
      </w:r>
      <w:r>
        <w:rPr>
          <w:rFonts w:ascii="Times New Roman" w:hAnsi="Times New Roman" w:cs="Times New Roman"/>
        </w:rPr>
        <w:t xml:space="preserve"> che accompagna AG433 si qualifica questa come “disposizione [che] riveste carettere principalmente programmatico e di indirizzo”, mentre “l’ordinamento nazionale risulta già sostanzialmente coerente con le finalità perseguite dalla disposizione”: ma si tratta di affermazioni non condivisib</w:t>
      </w:r>
      <w:r w:rsidR="000A40C8">
        <w:rPr>
          <w:rFonts w:ascii="Times New Roman" w:hAnsi="Times New Roman" w:cs="Times New Roman"/>
        </w:rPr>
        <w:t>i</w:t>
      </w:r>
      <w:r>
        <w:rPr>
          <w:rFonts w:ascii="Times New Roman" w:hAnsi="Times New Roman" w:cs="Times New Roman"/>
        </w:rPr>
        <w:t xml:space="preserve">li, la prima perché in evidente contrasto con la </w:t>
      </w:r>
      <w:r w:rsidR="000A40C8">
        <w:rPr>
          <w:rFonts w:ascii="Times New Roman" w:hAnsi="Times New Roman" w:cs="Times New Roman"/>
        </w:rPr>
        <w:t>D</w:t>
      </w:r>
      <w:r>
        <w:rPr>
          <w:rFonts w:ascii="Times New Roman" w:hAnsi="Times New Roman" w:cs="Times New Roman"/>
        </w:rPr>
        <w:t xml:space="preserve">irettiva stessa, e la seconda perché si riferisce al nostro sistema di vigilanza, mentre la Direttiva richiede un’attività specifica di attuazione. Semmai, la </w:t>
      </w:r>
      <w:r w:rsidR="000A40C8">
        <w:rPr>
          <w:rFonts w:ascii="Times New Roman" w:hAnsi="Times New Roman" w:cs="Times New Roman"/>
        </w:rPr>
        <w:t xml:space="preserve">giusta </w:t>
      </w:r>
      <w:r>
        <w:rPr>
          <w:rFonts w:ascii="Times New Roman" w:hAnsi="Times New Roman" w:cs="Times New Roman"/>
        </w:rPr>
        <w:t>ragione per non aver compreso nello schema di decreto legislativo l’attuazione dell’art. 6 della Direttiva è un’altra: si tratta, dato il contenuto dello stesso art. 6, di attività richieste agli Stati membri che nel caso andranno meglio disciplinate con fonti secondarie.</w:t>
      </w:r>
    </w:p>
    <w:p w:rsidR="001C6223" w:rsidRPr="00164B13" w:rsidRDefault="001C6223" w:rsidP="00164B13">
      <w:pPr>
        <w:pStyle w:val="Default"/>
        <w:spacing w:line="276" w:lineRule="auto"/>
        <w:ind w:firstLine="708"/>
        <w:jc w:val="both"/>
        <w:rPr>
          <w:rFonts w:ascii="Times New Roman" w:hAnsi="Times New Roman" w:cs="Times New Roman"/>
        </w:rPr>
      </w:pPr>
      <w:r w:rsidRPr="00164B13">
        <w:rPr>
          <w:rFonts w:ascii="Times New Roman" w:hAnsi="Times New Roman" w:cs="Times New Roman"/>
        </w:rPr>
        <w:t xml:space="preserve">Poi c’è l’art. 25 della Direttiva, il quale, rubricato </w:t>
      </w:r>
      <w:r w:rsidR="00164B13" w:rsidRPr="00164B13">
        <w:rPr>
          <w:rFonts w:ascii="Times New Roman" w:hAnsi="Times New Roman" w:cs="Times New Roman"/>
          <w:bCs/>
          <w:i/>
        </w:rPr>
        <w:t>Promozione della contrattazione collettiva nel lavoro mediante piattaforme digitali</w:t>
      </w:r>
      <w:r w:rsidR="00164B13" w:rsidRPr="00164B13">
        <w:rPr>
          <w:rFonts w:ascii="Times New Roman" w:hAnsi="Times New Roman" w:cs="Times New Roman"/>
        </w:rPr>
        <w:t xml:space="preserve">, </w:t>
      </w:r>
      <w:r w:rsidRPr="00164B13">
        <w:rPr>
          <w:rFonts w:ascii="Times New Roman" w:hAnsi="Times New Roman" w:cs="Times New Roman"/>
        </w:rPr>
        <w:t>prevede che “Gli Stati membri, fatta salva l’autonomia delle parti sociali e tenendo conto della diversità delle prassi nazionali, adottano misure adeguate per promuovere il ruolo delle parti sociali e incoraggiare l’esercizio del diritto alla contrattazione collettiva nel lavoro mediante piattaforme digitali, comprese misure relative alla determinazione della corretta situazione occupazionale dei lavoratori delle piattaforme digitali e ad agevolare l’esercizio dei loro diritti relativi alla gestione</w:t>
      </w:r>
      <w:r w:rsidR="00164B13" w:rsidRPr="00164B13">
        <w:rPr>
          <w:rFonts w:ascii="Times New Roman" w:hAnsi="Times New Roman" w:cs="Times New Roman"/>
        </w:rPr>
        <w:t xml:space="preserve"> algoritmica di cui al capo III”.</w:t>
      </w:r>
    </w:p>
    <w:p w:rsidR="00164B13" w:rsidRPr="00164B13" w:rsidRDefault="00164B13" w:rsidP="00164B13">
      <w:pPr>
        <w:pStyle w:val="Default"/>
        <w:spacing w:line="276" w:lineRule="auto"/>
        <w:ind w:firstLine="708"/>
        <w:jc w:val="both"/>
        <w:rPr>
          <w:rFonts w:ascii="Times New Roman" w:hAnsi="Times New Roman" w:cs="Times New Roman"/>
        </w:rPr>
      </w:pPr>
      <w:r w:rsidRPr="00164B13">
        <w:rPr>
          <w:rFonts w:ascii="Times New Roman" w:hAnsi="Times New Roman" w:cs="Times New Roman"/>
        </w:rPr>
        <w:t xml:space="preserve">Nel già ricordato </w:t>
      </w:r>
      <w:r w:rsidRPr="00164B13">
        <w:rPr>
          <w:rFonts w:ascii="Times New Roman" w:hAnsi="Times New Roman" w:cs="Times New Roman"/>
          <w:i/>
        </w:rPr>
        <w:t>Dossier</w:t>
      </w:r>
      <w:r w:rsidRPr="00164B13">
        <w:rPr>
          <w:rFonts w:ascii="Times New Roman" w:hAnsi="Times New Roman" w:cs="Times New Roman"/>
        </w:rPr>
        <w:t xml:space="preserve"> che accompagna AG433, ci si dilunga a spiegare che nel nostro ordinamento l’auton</w:t>
      </w:r>
      <w:r>
        <w:rPr>
          <w:rFonts w:ascii="Times New Roman" w:hAnsi="Times New Roman" w:cs="Times New Roman"/>
        </w:rPr>
        <w:t>o</w:t>
      </w:r>
      <w:r w:rsidRPr="00164B13">
        <w:rPr>
          <w:rFonts w:ascii="Times New Roman" w:hAnsi="Times New Roman" w:cs="Times New Roman"/>
        </w:rPr>
        <w:t>mia delle parti sociali, e l’art. 39 della Costituzione, renderebbero superfluo l’</w:t>
      </w:r>
      <w:r>
        <w:rPr>
          <w:rFonts w:ascii="Times New Roman" w:hAnsi="Times New Roman" w:cs="Times New Roman"/>
        </w:rPr>
        <w:t xml:space="preserve">intervento </w:t>
      </w:r>
      <w:r w:rsidRPr="00164B13">
        <w:rPr>
          <w:rFonts w:ascii="Times New Roman" w:hAnsi="Times New Roman" w:cs="Times New Roman"/>
        </w:rPr>
        <w:t>l</w:t>
      </w:r>
      <w:r>
        <w:rPr>
          <w:rFonts w:ascii="Times New Roman" w:hAnsi="Times New Roman" w:cs="Times New Roman"/>
        </w:rPr>
        <w:t xml:space="preserve">egislativo </w:t>
      </w:r>
      <w:r w:rsidRPr="00164B13">
        <w:rPr>
          <w:rFonts w:ascii="Times New Roman" w:hAnsi="Times New Roman" w:cs="Times New Roman"/>
        </w:rPr>
        <w:t>per quello che già l’</w:t>
      </w:r>
      <w:r>
        <w:rPr>
          <w:rFonts w:ascii="Times New Roman" w:hAnsi="Times New Roman" w:cs="Times New Roman"/>
        </w:rPr>
        <w:t>autonomia colletti</w:t>
      </w:r>
      <w:r w:rsidRPr="00164B13">
        <w:rPr>
          <w:rFonts w:ascii="Times New Roman" w:hAnsi="Times New Roman" w:cs="Times New Roman"/>
        </w:rPr>
        <w:t>va delle parti può meglio disciplinare.</w:t>
      </w:r>
    </w:p>
    <w:p w:rsidR="00164B13" w:rsidRPr="00164B13" w:rsidRDefault="00164B13" w:rsidP="00164B13">
      <w:pPr>
        <w:pStyle w:val="Default"/>
        <w:spacing w:line="276" w:lineRule="auto"/>
        <w:ind w:firstLine="708"/>
        <w:jc w:val="both"/>
        <w:rPr>
          <w:rFonts w:ascii="Times New Roman" w:hAnsi="Times New Roman" w:cs="Times New Roman"/>
        </w:rPr>
      </w:pPr>
      <w:r w:rsidRPr="00164B13">
        <w:rPr>
          <w:rFonts w:ascii="Times New Roman" w:hAnsi="Times New Roman" w:cs="Times New Roman"/>
        </w:rPr>
        <w:t xml:space="preserve">L’argomento è in parte condivisibile e in parte no: </w:t>
      </w:r>
      <w:r>
        <w:rPr>
          <w:rFonts w:ascii="Times New Roman" w:hAnsi="Times New Roman" w:cs="Times New Roman"/>
        </w:rPr>
        <w:t>c</w:t>
      </w:r>
      <w:r w:rsidRPr="00164B13">
        <w:rPr>
          <w:rFonts w:ascii="Times New Roman" w:hAnsi="Times New Roman" w:cs="Times New Roman"/>
        </w:rPr>
        <w:t xml:space="preserve">ertamente le parti non hanno, e non hanno mai avuto, e neppure potrebbero mai avere nel nostro quadro costituzionale, </w:t>
      </w:r>
      <w:r>
        <w:rPr>
          <w:rFonts w:ascii="Times New Roman" w:hAnsi="Times New Roman" w:cs="Times New Roman"/>
        </w:rPr>
        <w:t>il potere di disciplinare per via contrattuale quelle “misure relative alla determinazione della corretta situazione occupazionale dei lavoratori delle piattaforme digitali”, cioè alla corretta qual</w:t>
      </w:r>
      <w:r w:rsidR="000A40C8">
        <w:rPr>
          <w:rFonts w:ascii="Times New Roman" w:hAnsi="Times New Roman" w:cs="Times New Roman"/>
        </w:rPr>
        <w:t>i</w:t>
      </w:r>
      <w:r>
        <w:rPr>
          <w:rFonts w:ascii="Times New Roman" w:hAnsi="Times New Roman" w:cs="Times New Roman"/>
        </w:rPr>
        <w:t>ficazione giuridi</w:t>
      </w:r>
      <w:r w:rsidR="000A40C8">
        <w:rPr>
          <w:rFonts w:ascii="Times New Roman" w:hAnsi="Times New Roman" w:cs="Times New Roman"/>
        </w:rPr>
        <w:t>c</w:t>
      </w:r>
      <w:r>
        <w:rPr>
          <w:rFonts w:ascii="Times New Roman" w:hAnsi="Times New Roman" w:cs="Times New Roman"/>
        </w:rPr>
        <w:t>a dei rapporti di lavoro</w:t>
      </w:r>
      <w:r w:rsidR="00BC716F">
        <w:rPr>
          <w:rFonts w:ascii="Times New Roman" w:hAnsi="Times New Roman" w:cs="Times New Roman"/>
        </w:rPr>
        <w:t>,</w:t>
      </w:r>
      <w:bookmarkStart w:id="0" w:name="_GoBack"/>
      <w:bookmarkEnd w:id="0"/>
      <w:r>
        <w:rPr>
          <w:rFonts w:ascii="Times New Roman" w:hAnsi="Times New Roman" w:cs="Times New Roman"/>
        </w:rPr>
        <w:t xml:space="preserve"> che la </w:t>
      </w:r>
      <w:r w:rsidR="000A40C8">
        <w:rPr>
          <w:rFonts w:ascii="Times New Roman" w:hAnsi="Times New Roman" w:cs="Times New Roman"/>
        </w:rPr>
        <w:t>D</w:t>
      </w:r>
      <w:r>
        <w:rPr>
          <w:rFonts w:ascii="Times New Roman" w:hAnsi="Times New Roman" w:cs="Times New Roman"/>
        </w:rPr>
        <w:t xml:space="preserve">irettiva sembra voler affidare alla contrattazione, cosa non </w:t>
      </w:r>
      <w:r w:rsidR="000A40C8">
        <w:rPr>
          <w:rFonts w:ascii="Times New Roman" w:hAnsi="Times New Roman" w:cs="Times New Roman"/>
        </w:rPr>
        <w:t>possibile</w:t>
      </w:r>
      <w:r>
        <w:rPr>
          <w:rFonts w:ascii="Times New Roman" w:hAnsi="Times New Roman" w:cs="Times New Roman"/>
        </w:rPr>
        <w:t xml:space="preserve"> nel nostro ordinamento nazionale: semmai, l’inattuazione di questo art. 25 della </w:t>
      </w:r>
      <w:r w:rsidR="000A40C8">
        <w:rPr>
          <w:rFonts w:ascii="Times New Roman" w:hAnsi="Times New Roman" w:cs="Times New Roman"/>
        </w:rPr>
        <w:t>D</w:t>
      </w:r>
      <w:r>
        <w:rPr>
          <w:rFonts w:ascii="Times New Roman" w:hAnsi="Times New Roman" w:cs="Times New Roman"/>
        </w:rPr>
        <w:t xml:space="preserve">irettiva sarà giustificabile </w:t>
      </w:r>
      <w:r w:rsidRPr="00164B13">
        <w:rPr>
          <w:rFonts w:ascii="Times New Roman" w:hAnsi="Times New Roman" w:cs="Times New Roman"/>
          <w:i/>
        </w:rPr>
        <w:t>solo se</w:t>
      </w:r>
      <w:r>
        <w:rPr>
          <w:rFonts w:ascii="Times New Roman" w:hAnsi="Times New Roman" w:cs="Times New Roman"/>
        </w:rPr>
        <w:t xml:space="preserve">  </w:t>
      </w:r>
      <w:r w:rsidR="000A40C8">
        <w:rPr>
          <w:rFonts w:ascii="Times New Roman" w:hAnsi="Times New Roman" w:cs="Times New Roman"/>
        </w:rPr>
        <w:t>si condi</w:t>
      </w:r>
      <w:r>
        <w:rPr>
          <w:rFonts w:ascii="Times New Roman" w:hAnsi="Times New Roman" w:cs="Times New Roman"/>
        </w:rPr>
        <w:t>v</w:t>
      </w:r>
      <w:r w:rsidR="000A40C8">
        <w:rPr>
          <w:rFonts w:ascii="Times New Roman" w:hAnsi="Times New Roman" w:cs="Times New Roman"/>
        </w:rPr>
        <w:t>i</w:t>
      </w:r>
      <w:r>
        <w:rPr>
          <w:rFonts w:ascii="Times New Roman" w:hAnsi="Times New Roman" w:cs="Times New Roman"/>
        </w:rPr>
        <w:t>da quanto innanzi scritto, a partire dalle osservazioni sull’art. 3: ossia che non essendo consen</w:t>
      </w:r>
      <w:r w:rsidR="000A40C8">
        <w:rPr>
          <w:rFonts w:ascii="Times New Roman" w:hAnsi="Times New Roman" w:cs="Times New Roman"/>
        </w:rPr>
        <w:t>t</w:t>
      </w:r>
      <w:r>
        <w:rPr>
          <w:rFonts w:ascii="Times New Roman" w:hAnsi="Times New Roman" w:cs="Times New Roman"/>
        </w:rPr>
        <w:t xml:space="preserve">ito nel nostro ordinamento che il lavoro </w:t>
      </w:r>
      <w:r w:rsidR="000A40C8">
        <w:rPr>
          <w:rFonts w:ascii="Times New Roman" w:hAnsi="Times New Roman" w:cs="Times New Roman"/>
        </w:rPr>
        <w:t xml:space="preserve">necessariamente </w:t>
      </w:r>
      <w:r>
        <w:rPr>
          <w:rFonts w:ascii="Times New Roman" w:hAnsi="Times New Roman" w:cs="Times New Roman"/>
        </w:rPr>
        <w:t xml:space="preserve">etero-organizzato </w:t>
      </w:r>
      <w:r w:rsidR="000A40C8">
        <w:rPr>
          <w:rFonts w:ascii="Times New Roman" w:hAnsi="Times New Roman" w:cs="Times New Roman"/>
        </w:rPr>
        <w:t xml:space="preserve">– per previsione della Direttiva e dello schema di decreto all’esame – può essere qualificato soltanto subordinato o di collaborazione etero-organizzata, con applicazione della stessa disciplina legislativa, assicurando per questa via l’effetto utile della Direttiva senza ulteriori misure </w:t>
      </w:r>
      <w:r w:rsidR="00ED0811">
        <w:rPr>
          <w:rFonts w:ascii="Times New Roman" w:hAnsi="Times New Roman" w:cs="Times New Roman"/>
        </w:rPr>
        <w:t>legislative</w:t>
      </w:r>
      <w:r w:rsidR="000A40C8">
        <w:rPr>
          <w:rFonts w:ascii="Times New Roman" w:hAnsi="Times New Roman" w:cs="Times New Roman"/>
        </w:rPr>
        <w:t xml:space="preserve"> per determinare la corretta situazione occupazionale dei lavoratori e delle lavoratrici. </w:t>
      </w:r>
    </w:p>
    <w:p w:rsidR="001C6223" w:rsidRPr="007C33F6" w:rsidRDefault="001C6223" w:rsidP="001C6223">
      <w:pPr>
        <w:pStyle w:val="Default"/>
        <w:jc w:val="both"/>
        <w:rPr>
          <w:rFonts w:ascii="Times New Roman" w:hAnsi="Times New Roman" w:cs="Times New Roman"/>
        </w:rPr>
      </w:pPr>
    </w:p>
    <w:p w:rsidR="005024E7" w:rsidRPr="00F7406A" w:rsidRDefault="005024E7" w:rsidP="005024E7">
      <w:pPr>
        <w:pStyle w:val="Default"/>
        <w:spacing w:line="276" w:lineRule="auto"/>
        <w:ind w:left="357"/>
        <w:jc w:val="both"/>
        <w:rPr>
          <w:rFonts w:ascii="Times New Roman" w:hAnsi="Times New Roman" w:cs="Times New Roman"/>
        </w:rPr>
      </w:pPr>
    </w:p>
    <w:p w:rsidR="008223C6" w:rsidRPr="008223C6" w:rsidRDefault="008223C6" w:rsidP="008223C6">
      <w:pPr>
        <w:pStyle w:val="Default"/>
        <w:ind w:firstLine="357"/>
        <w:jc w:val="both"/>
        <w:rPr>
          <w:rFonts w:ascii="Times New Roman" w:hAnsi="Times New Roman" w:cs="Times New Roman"/>
        </w:rPr>
      </w:pPr>
    </w:p>
    <w:p w:rsidR="003C6952" w:rsidRPr="008223C6" w:rsidRDefault="003C6952" w:rsidP="008223C6">
      <w:pPr>
        <w:pStyle w:val="Paragrafoelenco"/>
        <w:autoSpaceDE w:val="0"/>
        <w:autoSpaceDN w:val="0"/>
        <w:adjustRightInd w:val="0"/>
        <w:spacing w:after="0" w:line="276" w:lineRule="auto"/>
        <w:ind w:left="0" w:firstLine="499"/>
        <w:jc w:val="both"/>
        <w:rPr>
          <w:rFonts w:ascii="Times New Roman" w:hAnsi="Times New Roman" w:cs="Times New Roman"/>
          <w:sz w:val="24"/>
          <w:szCs w:val="24"/>
        </w:rPr>
      </w:pPr>
    </w:p>
    <w:p w:rsidR="004509B8" w:rsidRPr="002B7170" w:rsidRDefault="004509B8" w:rsidP="00554D2D">
      <w:pPr>
        <w:autoSpaceDE w:val="0"/>
        <w:autoSpaceDN w:val="0"/>
        <w:adjustRightInd w:val="0"/>
        <w:spacing w:after="0" w:line="276" w:lineRule="auto"/>
        <w:ind w:firstLine="357"/>
        <w:jc w:val="both"/>
        <w:rPr>
          <w:rFonts w:ascii="Times New Roman" w:hAnsi="Times New Roman" w:cs="Times New Roman"/>
          <w:sz w:val="24"/>
          <w:szCs w:val="24"/>
        </w:rPr>
      </w:pPr>
    </w:p>
    <w:p w:rsidR="00EF4427" w:rsidRPr="006316A8" w:rsidRDefault="00EF4427" w:rsidP="00554D2D">
      <w:pPr>
        <w:autoSpaceDE w:val="0"/>
        <w:autoSpaceDN w:val="0"/>
        <w:adjustRightInd w:val="0"/>
        <w:spacing w:after="0" w:line="276" w:lineRule="auto"/>
        <w:ind w:firstLine="357"/>
        <w:jc w:val="both"/>
        <w:rPr>
          <w:rFonts w:ascii="Times New Roman" w:hAnsi="Times New Roman" w:cs="Times New Roman"/>
          <w:sz w:val="24"/>
          <w:szCs w:val="24"/>
        </w:rPr>
      </w:pPr>
    </w:p>
    <w:p w:rsidR="005B6DC2" w:rsidRPr="006316A8" w:rsidRDefault="005B6DC2" w:rsidP="00554D2D">
      <w:pPr>
        <w:pStyle w:val="Default"/>
        <w:spacing w:line="276" w:lineRule="auto"/>
        <w:ind w:firstLine="357"/>
        <w:jc w:val="both"/>
        <w:rPr>
          <w:rFonts w:ascii="Times New Roman" w:hAnsi="Times New Roman" w:cs="Times New Roman"/>
        </w:rPr>
      </w:pPr>
    </w:p>
    <w:p w:rsidR="005B6DC2" w:rsidRPr="007E5925" w:rsidRDefault="005B6DC2" w:rsidP="00554D2D">
      <w:pPr>
        <w:pStyle w:val="Default"/>
        <w:spacing w:line="276" w:lineRule="auto"/>
        <w:ind w:firstLine="357"/>
        <w:jc w:val="both"/>
        <w:rPr>
          <w:rFonts w:ascii="Times New Roman" w:hAnsi="Times New Roman" w:cs="Times New Roman"/>
        </w:rPr>
      </w:pPr>
    </w:p>
    <w:p w:rsidR="0000787B" w:rsidRPr="0000787B" w:rsidRDefault="0000787B" w:rsidP="00554D2D">
      <w:pPr>
        <w:pStyle w:val="Paragrafoelenco"/>
        <w:autoSpaceDE w:val="0"/>
        <w:autoSpaceDN w:val="0"/>
        <w:adjustRightInd w:val="0"/>
        <w:spacing w:after="0" w:line="276" w:lineRule="auto"/>
        <w:ind w:left="0" w:firstLine="357"/>
        <w:jc w:val="both"/>
        <w:rPr>
          <w:rFonts w:ascii="Times New Roman" w:hAnsi="Times New Roman" w:cs="Times New Roman"/>
          <w:sz w:val="24"/>
          <w:szCs w:val="24"/>
        </w:rPr>
      </w:pPr>
    </w:p>
    <w:p w:rsidR="004A43A3" w:rsidRPr="004A43A3" w:rsidRDefault="004A43A3" w:rsidP="00F52C9E">
      <w:pPr>
        <w:pStyle w:val="Paragrafoelenco"/>
        <w:autoSpaceDE w:val="0"/>
        <w:autoSpaceDN w:val="0"/>
        <w:adjustRightInd w:val="0"/>
        <w:spacing w:after="0" w:line="276" w:lineRule="auto"/>
        <w:ind w:left="357"/>
        <w:jc w:val="both"/>
        <w:rPr>
          <w:rFonts w:ascii="Times New Roman" w:hAnsi="Times New Roman" w:cs="Times New Roman"/>
          <w:sz w:val="24"/>
          <w:szCs w:val="24"/>
        </w:rPr>
      </w:pPr>
    </w:p>
    <w:p w:rsidR="006068E6" w:rsidRPr="00DF05BC" w:rsidRDefault="006068E6" w:rsidP="00F52C9E">
      <w:pPr>
        <w:autoSpaceDE w:val="0"/>
        <w:autoSpaceDN w:val="0"/>
        <w:adjustRightInd w:val="0"/>
        <w:spacing w:after="0" w:line="276" w:lineRule="auto"/>
        <w:ind w:firstLine="360"/>
        <w:jc w:val="both"/>
        <w:rPr>
          <w:rStyle w:val="arttextincomma"/>
          <w:rFonts w:ascii="Times New Roman" w:hAnsi="Times New Roman" w:cs="Times New Roman"/>
          <w:sz w:val="24"/>
          <w:szCs w:val="24"/>
        </w:rPr>
      </w:pPr>
    </w:p>
    <w:p w:rsidR="00790C71" w:rsidRPr="00DF05BC" w:rsidRDefault="00790C71" w:rsidP="00F52C9E">
      <w:pPr>
        <w:autoSpaceDE w:val="0"/>
        <w:autoSpaceDN w:val="0"/>
        <w:adjustRightInd w:val="0"/>
        <w:spacing w:after="0" w:line="276" w:lineRule="auto"/>
        <w:ind w:firstLine="360"/>
        <w:jc w:val="both"/>
        <w:rPr>
          <w:rFonts w:ascii="Times New Roman" w:hAnsi="Times New Roman" w:cs="Times New Roman"/>
          <w:i/>
          <w:sz w:val="24"/>
          <w:szCs w:val="24"/>
        </w:rPr>
      </w:pPr>
    </w:p>
    <w:p w:rsidR="00C90A4F" w:rsidRPr="00DF05BC" w:rsidRDefault="00C90A4F" w:rsidP="00F52C9E">
      <w:pPr>
        <w:pStyle w:val="Paragrafoelenco"/>
        <w:spacing w:after="0" w:line="276" w:lineRule="auto"/>
        <w:ind w:left="0" w:firstLine="360"/>
        <w:jc w:val="both"/>
        <w:rPr>
          <w:rFonts w:ascii="Times New Roman" w:hAnsi="Times New Roman" w:cs="Times New Roman"/>
          <w:sz w:val="24"/>
          <w:szCs w:val="24"/>
        </w:rPr>
      </w:pPr>
    </w:p>
    <w:p w:rsidR="00DF05BC" w:rsidRPr="00DF05BC" w:rsidRDefault="00DF05BC" w:rsidP="00F52C9E">
      <w:pPr>
        <w:pStyle w:val="Paragrafoelenco"/>
        <w:spacing w:after="0" w:line="276" w:lineRule="auto"/>
        <w:ind w:left="0" w:firstLine="360"/>
        <w:jc w:val="both"/>
        <w:rPr>
          <w:rFonts w:ascii="Times New Roman" w:hAnsi="Times New Roman" w:cs="Times New Roman"/>
          <w:sz w:val="24"/>
          <w:szCs w:val="24"/>
        </w:rPr>
      </w:pPr>
    </w:p>
    <w:sectPr w:rsidR="00DF05BC" w:rsidRPr="00DF05BC">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CFC" w:rsidRDefault="00931CFC" w:rsidP="00791678">
      <w:pPr>
        <w:spacing w:after="0" w:line="240" w:lineRule="auto"/>
      </w:pPr>
      <w:r>
        <w:separator/>
      </w:r>
    </w:p>
  </w:endnote>
  <w:endnote w:type="continuationSeparator" w:id="0">
    <w:p w:rsidR="00931CFC" w:rsidRDefault="00931CFC" w:rsidP="00791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EUAlbertina">
    <w:altName w:val="EU Alberti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DC2" w:rsidRDefault="005B6DC2">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7836581"/>
      <w:docPartObj>
        <w:docPartGallery w:val="Page Numbers (Bottom of Page)"/>
        <w:docPartUnique/>
      </w:docPartObj>
    </w:sdtPr>
    <w:sdtEndPr>
      <w:rPr>
        <w:rFonts w:ascii="Times New Roman" w:hAnsi="Times New Roman" w:cs="Times New Roman"/>
        <w:sz w:val="24"/>
        <w:szCs w:val="24"/>
      </w:rPr>
    </w:sdtEndPr>
    <w:sdtContent>
      <w:p w:rsidR="005B6DC2" w:rsidRPr="00CE378D" w:rsidRDefault="005B6DC2">
        <w:pPr>
          <w:pStyle w:val="Pidipagina"/>
          <w:jc w:val="center"/>
          <w:rPr>
            <w:rFonts w:ascii="Times New Roman" w:hAnsi="Times New Roman" w:cs="Times New Roman"/>
            <w:sz w:val="24"/>
            <w:szCs w:val="24"/>
          </w:rPr>
        </w:pPr>
        <w:r w:rsidRPr="00CE378D">
          <w:rPr>
            <w:rFonts w:ascii="Times New Roman" w:hAnsi="Times New Roman" w:cs="Times New Roman"/>
            <w:sz w:val="24"/>
            <w:szCs w:val="24"/>
          </w:rPr>
          <w:fldChar w:fldCharType="begin"/>
        </w:r>
        <w:r w:rsidRPr="00CE378D">
          <w:rPr>
            <w:rFonts w:ascii="Times New Roman" w:hAnsi="Times New Roman" w:cs="Times New Roman"/>
            <w:sz w:val="24"/>
            <w:szCs w:val="24"/>
          </w:rPr>
          <w:instrText>PAGE   \* MERGEFORMAT</w:instrText>
        </w:r>
        <w:r w:rsidRPr="00CE378D">
          <w:rPr>
            <w:rFonts w:ascii="Times New Roman" w:hAnsi="Times New Roman" w:cs="Times New Roman"/>
            <w:sz w:val="24"/>
            <w:szCs w:val="24"/>
          </w:rPr>
          <w:fldChar w:fldCharType="separate"/>
        </w:r>
        <w:r w:rsidR="00931CFC">
          <w:rPr>
            <w:rFonts w:ascii="Times New Roman" w:hAnsi="Times New Roman" w:cs="Times New Roman"/>
            <w:noProof/>
            <w:sz w:val="24"/>
            <w:szCs w:val="24"/>
          </w:rPr>
          <w:t>1</w:t>
        </w:r>
        <w:r w:rsidRPr="00CE378D">
          <w:rPr>
            <w:rFonts w:ascii="Times New Roman" w:hAnsi="Times New Roman" w:cs="Times New Roman"/>
            <w:sz w:val="24"/>
            <w:szCs w:val="24"/>
          </w:rPr>
          <w:fldChar w:fldCharType="end"/>
        </w:r>
      </w:p>
    </w:sdtContent>
  </w:sdt>
  <w:p w:rsidR="005B6DC2" w:rsidRDefault="005B6DC2">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DC2" w:rsidRDefault="005B6DC2">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CFC" w:rsidRDefault="00931CFC" w:rsidP="00791678">
      <w:pPr>
        <w:spacing w:after="0" w:line="240" w:lineRule="auto"/>
      </w:pPr>
      <w:r>
        <w:separator/>
      </w:r>
    </w:p>
  </w:footnote>
  <w:footnote w:type="continuationSeparator" w:id="0">
    <w:p w:rsidR="00931CFC" w:rsidRDefault="00931CFC" w:rsidP="00791678">
      <w:pPr>
        <w:spacing w:after="0" w:line="240" w:lineRule="auto"/>
      </w:pPr>
      <w:r>
        <w:continuationSeparator/>
      </w:r>
    </w:p>
  </w:footnote>
  <w:footnote w:id="1">
    <w:p w:rsidR="005B6DC2" w:rsidRPr="00523317" w:rsidRDefault="005B6DC2" w:rsidP="00523317">
      <w:pPr>
        <w:pStyle w:val="Testonotaapidipagina"/>
        <w:jc w:val="both"/>
        <w:rPr>
          <w:rFonts w:ascii="Times New Roman" w:hAnsi="Times New Roman" w:cs="Times New Roman"/>
        </w:rPr>
      </w:pPr>
      <w:r w:rsidRPr="00523317">
        <w:rPr>
          <w:rStyle w:val="Rimandonotaapidipagina"/>
          <w:rFonts w:ascii="Times New Roman" w:hAnsi="Times New Roman" w:cs="Times New Roman"/>
        </w:rPr>
        <w:footnoteRef/>
      </w:r>
      <w:r w:rsidRPr="00523317">
        <w:rPr>
          <w:rFonts w:ascii="Times New Roman" w:hAnsi="Times New Roman" w:cs="Times New Roman"/>
        </w:rPr>
        <w:t xml:space="preserve"> Corsivo mio.</w:t>
      </w:r>
    </w:p>
  </w:footnote>
  <w:footnote w:id="2">
    <w:p w:rsidR="005B6DC2" w:rsidRPr="00523317" w:rsidRDefault="005B6DC2" w:rsidP="00523317">
      <w:pPr>
        <w:pStyle w:val="Testonotaapidipagina"/>
        <w:jc w:val="both"/>
        <w:rPr>
          <w:rFonts w:ascii="Times New Roman" w:hAnsi="Times New Roman" w:cs="Times New Roman"/>
        </w:rPr>
      </w:pPr>
      <w:r w:rsidRPr="00523317">
        <w:rPr>
          <w:rStyle w:val="Rimandonotaapidipagina"/>
          <w:rFonts w:ascii="Times New Roman" w:hAnsi="Times New Roman" w:cs="Times New Roman"/>
        </w:rPr>
        <w:footnoteRef/>
      </w:r>
      <w:r w:rsidRPr="00523317">
        <w:rPr>
          <w:rFonts w:ascii="Times New Roman" w:hAnsi="Times New Roman" w:cs="Times New Roman"/>
        </w:rPr>
        <w:t xml:space="preserve"> In corsivo le parole da aggiungere.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DC2" w:rsidRDefault="005B6DC2">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DC2" w:rsidRDefault="005B6DC2">
    <w:pPr>
      <w:pStyle w:val="Intestazion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DC2" w:rsidRDefault="005B6DC2">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EFF96B7"/>
    <w:multiLevelType w:val="hybridMultilevel"/>
    <w:tmpl w:val="D3FD64B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7EA6CFD"/>
    <w:multiLevelType w:val="hybridMultilevel"/>
    <w:tmpl w:val="6C24500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8F2E454"/>
    <w:multiLevelType w:val="hybridMultilevel"/>
    <w:tmpl w:val="4668F76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2F845C"/>
    <w:multiLevelType w:val="hybridMultilevel"/>
    <w:tmpl w:val="9367401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470AAFB"/>
    <w:multiLevelType w:val="hybridMultilevel"/>
    <w:tmpl w:val="509BC0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5E505B0"/>
    <w:multiLevelType w:val="hybridMultilevel"/>
    <w:tmpl w:val="7C0C4896"/>
    <w:lvl w:ilvl="0" w:tplc="1938FC74">
      <w:start w:val="1"/>
      <w:numFmt w:val="decimal"/>
      <w:lvlText w:val="%1."/>
      <w:lvlJc w:val="left"/>
      <w:pPr>
        <w:ind w:left="644" w:hanging="360"/>
      </w:pPr>
      <w:rPr>
        <w:rFonts w:hint="default"/>
        <w:b/>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028554A"/>
    <w:multiLevelType w:val="hybridMultilevel"/>
    <w:tmpl w:val="DC67F5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5"/>
  </w:num>
  <w:num w:numId="2">
    <w:abstractNumId w:val="3"/>
  </w:num>
  <w:num w:numId="3">
    <w:abstractNumId w:val="0"/>
  </w:num>
  <w:num w:numId="4">
    <w:abstractNumId w:val="4"/>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A87"/>
    <w:rsid w:val="00006CE2"/>
    <w:rsid w:val="0000787B"/>
    <w:rsid w:val="00032A42"/>
    <w:rsid w:val="00034335"/>
    <w:rsid w:val="00057B1E"/>
    <w:rsid w:val="00062EF8"/>
    <w:rsid w:val="000A40C8"/>
    <w:rsid w:val="00103E52"/>
    <w:rsid w:val="0011060F"/>
    <w:rsid w:val="00164B13"/>
    <w:rsid w:val="001950F9"/>
    <w:rsid w:val="001C6223"/>
    <w:rsid w:val="001D6974"/>
    <w:rsid w:val="001E3498"/>
    <w:rsid w:val="00246F51"/>
    <w:rsid w:val="00254D82"/>
    <w:rsid w:val="0027240B"/>
    <w:rsid w:val="002B7170"/>
    <w:rsid w:val="0030405E"/>
    <w:rsid w:val="0032516C"/>
    <w:rsid w:val="0037772F"/>
    <w:rsid w:val="003B04BE"/>
    <w:rsid w:val="003C6952"/>
    <w:rsid w:val="003F19B0"/>
    <w:rsid w:val="003F2FA4"/>
    <w:rsid w:val="00423296"/>
    <w:rsid w:val="004509B8"/>
    <w:rsid w:val="00477C65"/>
    <w:rsid w:val="00484DC0"/>
    <w:rsid w:val="00493821"/>
    <w:rsid w:val="004A165E"/>
    <w:rsid w:val="004A2CC4"/>
    <w:rsid w:val="004A43A3"/>
    <w:rsid w:val="004D40D8"/>
    <w:rsid w:val="005024E7"/>
    <w:rsid w:val="00523317"/>
    <w:rsid w:val="00554D2D"/>
    <w:rsid w:val="00554D54"/>
    <w:rsid w:val="005B1F23"/>
    <w:rsid w:val="005B6DC2"/>
    <w:rsid w:val="006068E6"/>
    <w:rsid w:val="006316A8"/>
    <w:rsid w:val="00711CDB"/>
    <w:rsid w:val="00723D22"/>
    <w:rsid w:val="00734A87"/>
    <w:rsid w:val="0074560C"/>
    <w:rsid w:val="00760A50"/>
    <w:rsid w:val="00773878"/>
    <w:rsid w:val="00781016"/>
    <w:rsid w:val="00790C71"/>
    <w:rsid w:val="00791678"/>
    <w:rsid w:val="007C33F6"/>
    <w:rsid w:val="007E0919"/>
    <w:rsid w:val="007E0F6C"/>
    <w:rsid w:val="007E5925"/>
    <w:rsid w:val="007F5E03"/>
    <w:rsid w:val="008223C6"/>
    <w:rsid w:val="008266BD"/>
    <w:rsid w:val="00845944"/>
    <w:rsid w:val="0089240B"/>
    <w:rsid w:val="00896D9A"/>
    <w:rsid w:val="008D5CCD"/>
    <w:rsid w:val="008E4FF2"/>
    <w:rsid w:val="00924EDF"/>
    <w:rsid w:val="00931CFC"/>
    <w:rsid w:val="0094335A"/>
    <w:rsid w:val="00971BEC"/>
    <w:rsid w:val="009C70A0"/>
    <w:rsid w:val="009F35E6"/>
    <w:rsid w:val="009F3E32"/>
    <w:rsid w:val="009F67F5"/>
    <w:rsid w:val="009F7AAC"/>
    <w:rsid w:val="00A24C23"/>
    <w:rsid w:val="00A5042A"/>
    <w:rsid w:val="00AC3020"/>
    <w:rsid w:val="00AD45C1"/>
    <w:rsid w:val="00AD5213"/>
    <w:rsid w:val="00AF1833"/>
    <w:rsid w:val="00B23371"/>
    <w:rsid w:val="00B3279F"/>
    <w:rsid w:val="00B5282F"/>
    <w:rsid w:val="00B56C4C"/>
    <w:rsid w:val="00B65787"/>
    <w:rsid w:val="00B76495"/>
    <w:rsid w:val="00BA4416"/>
    <w:rsid w:val="00BC716F"/>
    <w:rsid w:val="00BE33A1"/>
    <w:rsid w:val="00BE679D"/>
    <w:rsid w:val="00C10DE9"/>
    <w:rsid w:val="00C90A4F"/>
    <w:rsid w:val="00CE378D"/>
    <w:rsid w:val="00D00065"/>
    <w:rsid w:val="00D00926"/>
    <w:rsid w:val="00D16785"/>
    <w:rsid w:val="00D72B24"/>
    <w:rsid w:val="00DF05BC"/>
    <w:rsid w:val="00E10438"/>
    <w:rsid w:val="00E30847"/>
    <w:rsid w:val="00E666E2"/>
    <w:rsid w:val="00E66E82"/>
    <w:rsid w:val="00E869E5"/>
    <w:rsid w:val="00ED0811"/>
    <w:rsid w:val="00EE1432"/>
    <w:rsid w:val="00EF4427"/>
    <w:rsid w:val="00EF7768"/>
    <w:rsid w:val="00F001D8"/>
    <w:rsid w:val="00F048AD"/>
    <w:rsid w:val="00F52C9E"/>
    <w:rsid w:val="00F7406A"/>
    <w:rsid w:val="00F940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7F739"/>
  <w15:chartTrackingRefBased/>
  <w15:docId w15:val="{A17905A8-5828-43E0-9E13-8CE582565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2">
    <w:name w:val="heading 2"/>
    <w:basedOn w:val="Normale"/>
    <w:link w:val="Titolo2Carattere"/>
    <w:uiPriority w:val="9"/>
    <w:qFormat/>
    <w:rsid w:val="00DF05BC"/>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34A87"/>
    <w:pPr>
      <w:ind w:left="720"/>
      <w:contextualSpacing/>
    </w:pPr>
  </w:style>
  <w:style w:type="paragraph" w:styleId="Testonotaapidipagina">
    <w:name w:val="footnote text"/>
    <w:basedOn w:val="Normale"/>
    <w:link w:val="TestonotaapidipaginaCarattere"/>
    <w:uiPriority w:val="99"/>
    <w:semiHidden/>
    <w:unhideWhenUsed/>
    <w:rsid w:val="00791678"/>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91678"/>
    <w:rPr>
      <w:sz w:val="20"/>
      <w:szCs w:val="20"/>
    </w:rPr>
  </w:style>
  <w:style w:type="character" w:styleId="Rimandonotaapidipagina">
    <w:name w:val="footnote reference"/>
    <w:basedOn w:val="Carpredefinitoparagrafo"/>
    <w:uiPriority w:val="99"/>
    <w:semiHidden/>
    <w:unhideWhenUsed/>
    <w:rsid w:val="00791678"/>
    <w:rPr>
      <w:vertAlign w:val="superscript"/>
    </w:rPr>
  </w:style>
  <w:style w:type="paragraph" w:customStyle="1" w:styleId="Default">
    <w:name w:val="Default"/>
    <w:rsid w:val="0011060F"/>
    <w:pPr>
      <w:autoSpaceDE w:val="0"/>
      <w:autoSpaceDN w:val="0"/>
      <w:adjustRightInd w:val="0"/>
      <w:spacing w:after="0" w:line="240" w:lineRule="auto"/>
    </w:pPr>
    <w:rPr>
      <w:rFonts w:ascii="EUAlbertina" w:hAnsi="EUAlbertina" w:cs="EUAlbertina"/>
      <w:color w:val="000000"/>
      <w:sz w:val="24"/>
      <w:szCs w:val="24"/>
    </w:rPr>
  </w:style>
  <w:style w:type="character" w:customStyle="1" w:styleId="arttextincomma">
    <w:name w:val="art_text_in_comma"/>
    <w:basedOn w:val="Carpredefinitoparagrafo"/>
    <w:rsid w:val="00924EDF"/>
  </w:style>
  <w:style w:type="paragraph" w:styleId="Intestazione">
    <w:name w:val="header"/>
    <w:basedOn w:val="Normale"/>
    <w:link w:val="IntestazioneCarattere"/>
    <w:uiPriority w:val="99"/>
    <w:unhideWhenUsed/>
    <w:rsid w:val="00CE378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E378D"/>
  </w:style>
  <w:style w:type="paragraph" w:styleId="Pidipagina">
    <w:name w:val="footer"/>
    <w:basedOn w:val="Normale"/>
    <w:link w:val="PidipaginaCarattere"/>
    <w:uiPriority w:val="99"/>
    <w:unhideWhenUsed/>
    <w:rsid w:val="00CE378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E378D"/>
  </w:style>
  <w:style w:type="character" w:customStyle="1" w:styleId="Titolo2Carattere">
    <w:name w:val="Titolo 2 Carattere"/>
    <w:basedOn w:val="Carpredefinitoparagrafo"/>
    <w:link w:val="Titolo2"/>
    <w:uiPriority w:val="9"/>
    <w:rsid w:val="00DF05BC"/>
    <w:rPr>
      <w:rFonts w:ascii="Times New Roman" w:eastAsia="Times New Roman" w:hAnsi="Times New Roman" w:cs="Times New Roman"/>
      <w:b/>
      <w:bCs/>
      <w:sz w:val="36"/>
      <w:szCs w:val="3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19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620C0-7248-4ABB-9C43-E6DDCEF6B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1465</TotalTime>
  <Pages>12</Pages>
  <Words>6963</Words>
  <Characters>39694</Characters>
  <Application>Microsoft Office Word</Application>
  <DocSecurity>0</DocSecurity>
  <Lines>330</Lines>
  <Paragraphs>93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dc:description/>
  <cp:lastModifiedBy>Utente Windows</cp:lastModifiedBy>
  <cp:revision>49</cp:revision>
  <dcterms:created xsi:type="dcterms:W3CDTF">2026-09-10T10:06:00Z</dcterms:created>
  <dcterms:modified xsi:type="dcterms:W3CDTF">2026-09-14T21:01:00Z</dcterms:modified>
</cp:coreProperties>
</file>